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650E7">
      <w:pPr>
        <w:spacing w:before="200" w:after="1000" w:line="560" w:lineRule="exact"/>
        <w:jc w:val="center"/>
        <w:rPr>
          <w:rFonts w:hint="default" w:ascii="宋体" w:hAnsi="宋体" w:eastAsia="宋体" w:cs="宋体"/>
          <w:sz w:val="18"/>
          <w:szCs w:val="18"/>
          <w:lang w:val="en-US" w:eastAsia="zh-CN"/>
        </w:rPr>
      </w:pPr>
      <w:r>
        <w:rPr>
          <w:rFonts w:ascii="宋体" w:hAnsi="宋体" w:eastAsia="宋体" w:cs="宋体"/>
          <w:sz w:val="18"/>
          <w:szCs w:val="18"/>
        </w:rPr>
        <w:t>证券代码：001219                          证券简称：青岛食品                          公告编号：</w:t>
      </w:r>
      <w:r>
        <w:rPr>
          <w:rFonts w:hint="eastAsia" w:ascii="宋体" w:hAnsi="宋体" w:eastAsia="宋体" w:cs="宋体"/>
          <w:sz w:val="18"/>
          <w:szCs w:val="18"/>
          <w:lang w:val="en-US" w:eastAsia="zh-CN"/>
        </w:rPr>
        <w:t>2025-034</w:t>
      </w:r>
    </w:p>
    <w:p w14:paraId="7221F38F">
      <w:pPr>
        <w:spacing w:before="0" w:after="1000" w:line="400" w:lineRule="exact"/>
        <w:jc w:val="center"/>
        <w:rPr>
          <w:rFonts w:ascii="宋体" w:hAnsi="宋体" w:eastAsia="宋体" w:cs="宋体"/>
          <w:b/>
          <w:bCs/>
          <w:sz w:val="36"/>
          <w:szCs w:val="36"/>
        </w:rPr>
      </w:pPr>
      <w:r>
        <w:rPr>
          <w:rFonts w:ascii="宋体" w:hAnsi="宋体" w:eastAsia="宋体" w:cs="宋体"/>
          <w:b/>
          <w:bCs/>
          <w:sz w:val="36"/>
          <w:szCs w:val="36"/>
        </w:rPr>
        <w:t>青岛食品股份有限公司2025年半年度报告摘要</w:t>
      </w:r>
    </w:p>
    <w:p w14:paraId="0D133B07">
      <w:pPr>
        <w:keepNext/>
        <w:keepLines/>
        <w:spacing w:before="300" w:after="300" w:line="320" w:lineRule="exact"/>
        <w:jc w:val="left"/>
        <w:outlineLvl w:val="1"/>
        <w:rPr>
          <w:rFonts w:ascii="宋体" w:hAnsi="宋体" w:eastAsia="宋体" w:cs="宋体"/>
          <w:b/>
          <w:bCs/>
          <w:sz w:val="24"/>
          <w:szCs w:val="24"/>
        </w:rPr>
      </w:pPr>
      <w:bookmarkStart w:id="0" w:name="_Toc988889"/>
      <w:r>
        <w:rPr>
          <w:rFonts w:ascii="宋体" w:hAnsi="宋体" w:eastAsia="宋体" w:cs="宋体"/>
          <w:b/>
          <w:bCs/>
          <w:sz w:val="24"/>
          <w:szCs w:val="24"/>
        </w:rPr>
        <w:t>一、重要提示</w:t>
      </w:r>
      <w:bookmarkEnd w:id="0"/>
    </w:p>
    <w:p w14:paraId="3A458749">
      <w:pPr>
        <w:keepNext w:val="0"/>
        <w:keepLines w:val="0"/>
        <w:pageBreakBefore w:val="0"/>
        <w:widowControl w:val="0"/>
        <w:kinsoku/>
        <w:wordWrap/>
        <w:overflowPunct/>
        <w:topLinePunct w:val="0"/>
        <w:autoSpaceDE/>
        <w:autoSpaceDN/>
        <w:bidi w:val="0"/>
        <w:adjustRightInd/>
        <w:snapToGrid/>
        <w:spacing w:before="40" w:after="4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本半年度报告摘要来自半年度报告全文，为全面了解本公司的经营成果、财务状况及未来发展规划，投资者应当到证监会指定媒体仔细阅读半年度报告全文。</w:t>
      </w:r>
    </w:p>
    <w:p w14:paraId="72847AB4">
      <w:pPr>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所有董事均已出席了审议本报告的董事会会议。</w:t>
      </w:r>
    </w:p>
    <w:p w14:paraId="19277268">
      <w:pPr>
        <w:keepNext w:val="0"/>
        <w:keepLines w:val="0"/>
        <w:pageBreakBefore w:val="0"/>
        <w:widowControl w:val="0"/>
        <w:kinsoku/>
        <w:wordWrap/>
        <w:overflowPunct/>
        <w:topLinePunct w:val="0"/>
        <w:autoSpaceDE/>
        <w:autoSpaceDN/>
        <w:bidi w:val="0"/>
        <w:adjustRightInd/>
        <w:snapToGrid/>
        <w:spacing w:before="100" w:after="10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非标准审计意见提示</w:t>
      </w:r>
    </w:p>
    <w:p w14:paraId="04C2EF0F">
      <w:pPr>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□适用 </w:t>
      </w:r>
      <w:r>
        <w:rPr>
          <w:rFonts w:hint="eastAsia" w:ascii="宋体" w:hAnsi="宋体" w:eastAsia="宋体" w:cs="宋体"/>
          <w:sz w:val="21"/>
          <w:szCs w:val="21"/>
        </w:rPr>
        <w:sym w:font="Wingdings 2" w:char="F052"/>
      </w:r>
      <w:r>
        <w:rPr>
          <w:rFonts w:hint="eastAsia" w:ascii="宋体" w:hAnsi="宋体" w:eastAsia="宋体" w:cs="宋体"/>
          <w:sz w:val="21"/>
          <w:szCs w:val="21"/>
        </w:rPr>
        <w:t>不适用</w:t>
      </w:r>
    </w:p>
    <w:p w14:paraId="1EE5592B">
      <w:pPr>
        <w:keepNext w:val="0"/>
        <w:keepLines w:val="0"/>
        <w:pageBreakBefore w:val="0"/>
        <w:widowControl w:val="0"/>
        <w:kinsoku/>
        <w:wordWrap/>
        <w:overflowPunct/>
        <w:topLinePunct w:val="0"/>
        <w:autoSpaceDE/>
        <w:autoSpaceDN/>
        <w:bidi w:val="0"/>
        <w:adjustRightInd/>
        <w:snapToGrid/>
        <w:spacing w:before="100" w:after="4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董事会审议的报告期利润分配预案或公积金转增股本预案</w:t>
      </w:r>
    </w:p>
    <w:p w14:paraId="251B4C9E">
      <w:pPr>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sym w:font="Wingdings 2" w:char="F052"/>
      </w:r>
      <w:r>
        <w:rPr>
          <w:rFonts w:hint="eastAsia" w:ascii="宋体" w:hAnsi="宋体" w:eastAsia="宋体" w:cs="宋体"/>
          <w:sz w:val="21"/>
          <w:szCs w:val="21"/>
        </w:rPr>
        <w:t>适用 □不适用</w:t>
      </w:r>
    </w:p>
    <w:p w14:paraId="7B3DD6DB">
      <w:pPr>
        <w:keepNext w:val="0"/>
        <w:keepLines w:val="0"/>
        <w:pageBreakBefore w:val="0"/>
        <w:widowControl w:val="0"/>
        <w:kinsoku/>
        <w:wordWrap/>
        <w:overflowPunct/>
        <w:topLinePunct w:val="0"/>
        <w:autoSpaceDE/>
        <w:autoSpaceDN/>
        <w:bidi w:val="0"/>
        <w:adjustRightInd/>
        <w:snapToGrid/>
        <w:spacing w:before="40" w:after="4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是否以公积金转增股本</w:t>
      </w:r>
    </w:p>
    <w:p w14:paraId="223EEAFA">
      <w:pPr>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□是 </w:t>
      </w:r>
      <w:r>
        <w:rPr>
          <w:rFonts w:hint="eastAsia" w:ascii="宋体" w:hAnsi="宋体" w:eastAsia="宋体" w:cs="宋体"/>
          <w:sz w:val="21"/>
          <w:szCs w:val="21"/>
        </w:rPr>
        <w:sym w:font="Wingdings 2" w:char="F052"/>
      </w:r>
      <w:r>
        <w:rPr>
          <w:rFonts w:hint="eastAsia" w:ascii="宋体" w:hAnsi="宋体" w:eastAsia="宋体" w:cs="宋体"/>
          <w:sz w:val="21"/>
          <w:szCs w:val="21"/>
        </w:rPr>
        <w:t>否</w:t>
      </w:r>
    </w:p>
    <w:p w14:paraId="274DD7AD">
      <w:pPr>
        <w:keepNext w:val="0"/>
        <w:keepLines w:val="0"/>
        <w:pageBreakBefore w:val="0"/>
        <w:widowControl w:val="0"/>
        <w:kinsoku/>
        <w:wordWrap/>
        <w:overflowPunct/>
        <w:topLinePunct w:val="0"/>
        <w:autoSpaceDE/>
        <w:autoSpaceDN/>
        <w:bidi w:val="0"/>
        <w:adjustRightInd/>
        <w:snapToGrid/>
        <w:spacing w:before="40" w:after="4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公司经本次董事会审议通过的利润分配预案为：以194,983,750为基数，向全体股东每10股派发现金红利1.00元（含税），送红股0股（含税），不以公积金转增股本。</w:t>
      </w:r>
    </w:p>
    <w:p w14:paraId="201E13E0">
      <w:pPr>
        <w:keepNext w:val="0"/>
        <w:keepLines w:val="0"/>
        <w:pageBreakBefore w:val="0"/>
        <w:widowControl w:val="0"/>
        <w:kinsoku/>
        <w:wordWrap/>
        <w:overflowPunct/>
        <w:topLinePunct w:val="0"/>
        <w:autoSpaceDE/>
        <w:autoSpaceDN/>
        <w:bidi w:val="0"/>
        <w:adjustRightInd/>
        <w:snapToGrid/>
        <w:spacing w:before="100" w:after="10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董事会决议通过的本报告期优先股利润分配预案</w:t>
      </w:r>
    </w:p>
    <w:p w14:paraId="1F3F35B5">
      <w:pPr>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□适用 </w:t>
      </w:r>
      <w:r>
        <w:rPr>
          <w:rFonts w:hint="eastAsia" w:ascii="宋体" w:hAnsi="宋体" w:eastAsia="宋体" w:cs="宋体"/>
          <w:sz w:val="21"/>
          <w:szCs w:val="21"/>
        </w:rPr>
        <w:sym w:font="Wingdings 2" w:char="F052"/>
      </w:r>
      <w:r>
        <w:rPr>
          <w:rFonts w:hint="eastAsia" w:ascii="宋体" w:hAnsi="宋体" w:eastAsia="宋体" w:cs="宋体"/>
          <w:sz w:val="21"/>
          <w:szCs w:val="21"/>
        </w:rPr>
        <w:t>不适用</w:t>
      </w:r>
    </w:p>
    <w:p w14:paraId="2AA42C44">
      <w:pPr>
        <w:keepNext/>
        <w:keepLines/>
        <w:spacing w:before="300" w:after="300" w:line="320" w:lineRule="exact"/>
        <w:jc w:val="left"/>
        <w:outlineLvl w:val="1"/>
        <w:rPr>
          <w:rFonts w:ascii="宋体" w:hAnsi="宋体" w:eastAsia="宋体" w:cs="宋体"/>
          <w:b/>
          <w:bCs/>
          <w:sz w:val="24"/>
          <w:szCs w:val="24"/>
        </w:rPr>
      </w:pPr>
      <w:bookmarkStart w:id="1" w:name="_Toc988890"/>
      <w:r>
        <w:rPr>
          <w:rFonts w:ascii="宋体" w:hAnsi="宋体" w:eastAsia="宋体" w:cs="宋体"/>
          <w:b/>
          <w:bCs/>
          <w:sz w:val="24"/>
          <w:szCs w:val="24"/>
        </w:rPr>
        <w:t>二、公司基本情况</w:t>
      </w:r>
      <w:bookmarkEnd w:id="1"/>
    </w:p>
    <w:p w14:paraId="307C3FDD">
      <w:pPr>
        <w:keepNext/>
        <w:keepLines/>
        <w:spacing w:before="300" w:after="300" w:line="280" w:lineRule="exact"/>
        <w:jc w:val="left"/>
        <w:outlineLvl w:val="2"/>
        <w:rPr>
          <w:rFonts w:ascii="宋体" w:hAnsi="宋体" w:eastAsia="宋体" w:cs="宋体"/>
          <w:b/>
          <w:bCs/>
          <w:sz w:val="21"/>
          <w:szCs w:val="21"/>
        </w:rPr>
      </w:pPr>
      <w:bookmarkStart w:id="2" w:name="_Toc988891"/>
      <w:r>
        <w:rPr>
          <w:rFonts w:ascii="宋体" w:hAnsi="宋体" w:eastAsia="宋体" w:cs="宋体"/>
          <w:b/>
          <w:bCs/>
          <w:sz w:val="21"/>
          <w:szCs w:val="21"/>
        </w:rPr>
        <w:t>1、公司简介</w:t>
      </w:r>
      <w:bookmarkEnd w:id="2"/>
    </w:p>
    <w:tbl>
      <w:tblPr>
        <w:tblStyle w:val="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gridCol w:w="2142"/>
        <w:gridCol w:w="1071"/>
        <w:gridCol w:w="1071"/>
        <w:gridCol w:w="2142"/>
      </w:tblGrid>
      <w:tr w14:paraId="2D61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213" w:type="dxa"/>
            <w:shd w:val="clear" w:color="auto" w:fill="D3D3D3"/>
            <w:vAlign w:val="center"/>
          </w:tcPr>
          <w:p w14:paraId="4175B903">
            <w:pPr>
              <w:spacing w:before="40" w:after="40" w:line="240" w:lineRule="exact"/>
              <w:jc w:val="left"/>
              <w:rPr>
                <w:rFonts w:ascii="宋体" w:hAnsi="宋体" w:eastAsia="宋体" w:cs="宋体"/>
                <w:sz w:val="18"/>
                <w:szCs w:val="18"/>
              </w:rPr>
            </w:pPr>
            <w:r>
              <w:rPr>
                <w:rFonts w:ascii="宋体" w:hAnsi="宋体" w:eastAsia="宋体" w:cs="宋体"/>
                <w:sz w:val="18"/>
                <w:szCs w:val="18"/>
              </w:rPr>
              <w:t>股票简称</w:t>
            </w:r>
          </w:p>
        </w:tc>
        <w:tc>
          <w:tcPr>
            <w:tcW w:w="2142" w:type="dxa"/>
            <w:vAlign w:val="center"/>
          </w:tcPr>
          <w:p w14:paraId="0603FD8D">
            <w:pPr>
              <w:spacing w:before="0" w:after="0" w:line="240" w:lineRule="exact"/>
              <w:jc w:val="left"/>
              <w:rPr>
                <w:rFonts w:ascii="宋体" w:hAnsi="宋体" w:eastAsia="宋体" w:cs="宋体"/>
                <w:sz w:val="18"/>
                <w:szCs w:val="18"/>
              </w:rPr>
            </w:pPr>
            <w:r>
              <w:rPr>
                <w:rFonts w:ascii="宋体" w:hAnsi="宋体" w:eastAsia="宋体" w:cs="宋体"/>
                <w:sz w:val="18"/>
                <w:szCs w:val="18"/>
              </w:rPr>
              <w:t>青岛食品</w:t>
            </w:r>
          </w:p>
        </w:tc>
        <w:tc>
          <w:tcPr>
            <w:tcW w:w="2142" w:type="dxa"/>
            <w:gridSpan w:val="2"/>
            <w:shd w:val="clear" w:color="auto" w:fill="D3D3D3"/>
            <w:vAlign w:val="center"/>
          </w:tcPr>
          <w:p w14:paraId="31F3C0FB">
            <w:pPr>
              <w:spacing w:before="40" w:after="40" w:line="240" w:lineRule="exact"/>
              <w:jc w:val="left"/>
              <w:rPr>
                <w:rFonts w:ascii="宋体" w:hAnsi="宋体" w:eastAsia="宋体" w:cs="宋体"/>
                <w:sz w:val="18"/>
                <w:szCs w:val="18"/>
              </w:rPr>
            </w:pPr>
            <w:r>
              <w:rPr>
                <w:rFonts w:ascii="宋体" w:hAnsi="宋体" w:eastAsia="宋体" w:cs="宋体"/>
                <w:sz w:val="18"/>
                <w:szCs w:val="18"/>
              </w:rPr>
              <w:t>股票代码</w:t>
            </w:r>
          </w:p>
        </w:tc>
        <w:tc>
          <w:tcPr>
            <w:tcW w:w="2142" w:type="dxa"/>
            <w:vAlign w:val="center"/>
          </w:tcPr>
          <w:p w14:paraId="5766D608">
            <w:pPr>
              <w:spacing w:before="0" w:after="0" w:line="240" w:lineRule="exact"/>
              <w:jc w:val="left"/>
              <w:rPr>
                <w:rFonts w:ascii="宋体" w:hAnsi="宋体" w:eastAsia="宋体" w:cs="宋体"/>
                <w:sz w:val="18"/>
                <w:szCs w:val="18"/>
              </w:rPr>
            </w:pPr>
            <w:r>
              <w:rPr>
                <w:rFonts w:ascii="宋体" w:hAnsi="宋体" w:eastAsia="宋体" w:cs="宋体"/>
                <w:sz w:val="18"/>
                <w:szCs w:val="18"/>
              </w:rPr>
              <w:t>001219</w:t>
            </w:r>
          </w:p>
        </w:tc>
      </w:tr>
      <w:tr w14:paraId="774B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213" w:type="dxa"/>
            <w:shd w:val="clear" w:color="auto" w:fill="D3D3D3"/>
            <w:vAlign w:val="center"/>
          </w:tcPr>
          <w:p w14:paraId="7412134B">
            <w:pPr>
              <w:spacing w:before="40" w:after="40" w:line="240" w:lineRule="exact"/>
              <w:jc w:val="left"/>
              <w:rPr>
                <w:rFonts w:ascii="宋体" w:hAnsi="宋体" w:eastAsia="宋体" w:cs="宋体"/>
                <w:sz w:val="18"/>
                <w:szCs w:val="18"/>
              </w:rPr>
            </w:pPr>
            <w:r>
              <w:rPr>
                <w:rFonts w:ascii="宋体" w:hAnsi="宋体" w:eastAsia="宋体" w:cs="宋体"/>
                <w:sz w:val="18"/>
                <w:szCs w:val="18"/>
              </w:rPr>
              <w:t>股票上市交易所</w:t>
            </w:r>
          </w:p>
        </w:tc>
        <w:tc>
          <w:tcPr>
            <w:tcW w:w="6426" w:type="dxa"/>
            <w:gridSpan w:val="4"/>
            <w:vAlign w:val="center"/>
          </w:tcPr>
          <w:p w14:paraId="0532BDC1">
            <w:pPr>
              <w:spacing w:before="0" w:after="0" w:line="240" w:lineRule="exact"/>
              <w:jc w:val="left"/>
              <w:rPr>
                <w:rFonts w:ascii="宋体" w:hAnsi="宋体" w:eastAsia="宋体" w:cs="宋体"/>
                <w:sz w:val="18"/>
                <w:szCs w:val="18"/>
              </w:rPr>
            </w:pPr>
            <w:r>
              <w:rPr>
                <w:rFonts w:ascii="宋体" w:hAnsi="宋体" w:eastAsia="宋体" w:cs="宋体"/>
                <w:sz w:val="18"/>
                <w:szCs w:val="18"/>
              </w:rPr>
              <w:t>深圳证券交易所</w:t>
            </w:r>
          </w:p>
        </w:tc>
      </w:tr>
      <w:tr w14:paraId="5C46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213" w:type="dxa"/>
            <w:shd w:val="clear" w:color="auto" w:fill="D3D3D3"/>
            <w:vAlign w:val="center"/>
          </w:tcPr>
          <w:p w14:paraId="2F1E06EC">
            <w:pPr>
              <w:spacing w:before="40" w:after="40" w:line="240" w:lineRule="exact"/>
              <w:jc w:val="center"/>
              <w:rPr>
                <w:rFonts w:ascii="宋体" w:hAnsi="宋体" w:eastAsia="宋体" w:cs="宋体"/>
                <w:sz w:val="18"/>
                <w:szCs w:val="18"/>
              </w:rPr>
            </w:pPr>
            <w:r>
              <w:rPr>
                <w:rFonts w:ascii="宋体" w:hAnsi="宋体" w:eastAsia="宋体" w:cs="宋体"/>
                <w:sz w:val="18"/>
                <w:szCs w:val="18"/>
              </w:rPr>
              <w:t>联系人和联系方式</w:t>
            </w:r>
          </w:p>
        </w:tc>
        <w:tc>
          <w:tcPr>
            <w:tcW w:w="3213" w:type="dxa"/>
            <w:gridSpan w:val="2"/>
            <w:shd w:val="clear" w:color="auto" w:fill="D3D3D3"/>
            <w:vAlign w:val="center"/>
          </w:tcPr>
          <w:p w14:paraId="68B6E950">
            <w:pPr>
              <w:spacing w:before="40" w:after="40" w:line="240" w:lineRule="exact"/>
              <w:jc w:val="center"/>
              <w:rPr>
                <w:rFonts w:ascii="宋体" w:hAnsi="宋体" w:eastAsia="宋体" w:cs="宋体"/>
                <w:sz w:val="18"/>
                <w:szCs w:val="18"/>
              </w:rPr>
            </w:pPr>
            <w:r>
              <w:rPr>
                <w:rFonts w:ascii="宋体" w:hAnsi="宋体" w:eastAsia="宋体" w:cs="宋体"/>
                <w:sz w:val="18"/>
                <w:szCs w:val="18"/>
              </w:rPr>
              <w:t>董事会秘书</w:t>
            </w:r>
          </w:p>
        </w:tc>
        <w:tc>
          <w:tcPr>
            <w:tcW w:w="3213" w:type="dxa"/>
            <w:gridSpan w:val="2"/>
            <w:shd w:val="clear" w:color="auto" w:fill="D3D3D3"/>
            <w:vAlign w:val="center"/>
          </w:tcPr>
          <w:p w14:paraId="6F6F6B82">
            <w:pPr>
              <w:spacing w:before="40" w:after="40" w:line="240" w:lineRule="exact"/>
              <w:jc w:val="center"/>
              <w:rPr>
                <w:rFonts w:ascii="宋体" w:hAnsi="宋体" w:eastAsia="宋体" w:cs="宋体"/>
                <w:sz w:val="18"/>
                <w:szCs w:val="18"/>
              </w:rPr>
            </w:pPr>
            <w:r>
              <w:rPr>
                <w:rFonts w:ascii="宋体" w:hAnsi="宋体" w:eastAsia="宋体" w:cs="宋体"/>
                <w:sz w:val="18"/>
                <w:szCs w:val="18"/>
              </w:rPr>
              <w:t>证券事务代表</w:t>
            </w:r>
          </w:p>
        </w:tc>
      </w:tr>
      <w:tr w14:paraId="2E37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213" w:type="dxa"/>
            <w:shd w:val="clear" w:color="auto" w:fill="D3D3D3"/>
            <w:vAlign w:val="center"/>
          </w:tcPr>
          <w:p w14:paraId="463DFF43">
            <w:pPr>
              <w:spacing w:before="40" w:after="40" w:line="240" w:lineRule="exact"/>
              <w:jc w:val="left"/>
              <w:rPr>
                <w:rFonts w:ascii="宋体" w:hAnsi="宋体" w:eastAsia="宋体" w:cs="宋体"/>
                <w:sz w:val="18"/>
                <w:szCs w:val="18"/>
              </w:rPr>
            </w:pPr>
            <w:r>
              <w:rPr>
                <w:rFonts w:ascii="宋体" w:hAnsi="宋体" w:eastAsia="宋体" w:cs="宋体"/>
                <w:sz w:val="18"/>
                <w:szCs w:val="18"/>
              </w:rPr>
              <w:t>姓名</w:t>
            </w:r>
          </w:p>
        </w:tc>
        <w:tc>
          <w:tcPr>
            <w:tcW w:w="3213" w:type="dxa"/>
            <w:gridSpan w:val="2"/>
            <w:vAlign w:val="center"/>
          </w:tcPr>
          <w:p w14:paraId="41BA077B">
            <w:pPr>
              <w:spacing w:before="0" w:after="0" w:line="240" w:lineRule="exact"/>
              <w:jc w:val="left"/>
              <w:rPr>
                <w:rFonts w:ascii="宋体" w:hAnsi="宋体" w:eastAsia="宋体" w:cs="宋体"/>
                <w:sz w:val="18"/>
                <w:szCs w:val="18"/>
              </w:rPr>
            </w:pPr>
            <w:r>
              <w:rPr>
                <w:rFonts w:ascii="宋体" w:hAnsi="宋体" w:eastAsia="宋体" w:cs="宋体"/>
                <w:sz w:val="18"/>
                <w:szCs w:val="18"/>
              </w:rPr>
              <w:t>张松涛</w:t>
            </w:r>
          </w:p>
        </w:tc>
        <w:tc>
          <w:tcPr>
            <w:tcW w:w="3213" w:type="dxa"/>
            <w:gridSpan w:val="2"/>
            <w:vAlign w:val="center"/>
          </w:tcPr>
          <w:p w14:paraId="45B2A3FF">
            <w:pPr>
              <w:spacing w:before="0" w:after="0" w:line="240" w:lineRule="exact"/>
              <w:jc w:val="left"/>
              <w:rPr>
                <w:rFonts w:ascii="宋体" w:hAnsi="宋体" w:eastAsia="宋体" w:cs="宋体"/>
                <w:sz w:val="18"/>
                <w:szCs w:val="18"/>
              </w:rPr>
            </w:pPr>
            <w:r>
              <w:rPr>
                <w:rFonts w:ascii="宋体" w:hAnsi="宋体" w:eastAsia="宋体" w:cs="宋体"/>
                <w:sz w:val="18"/>
                <w:szCs w:val="18"/>
              </w:rPr>
              <w:t>李春宏</w:t>
            </w:r>
          </w:p>
        </w:tc>
      </w:tr>
      <w:tr w14:paraId="339E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213" w:type="dxa"/>
            <w:shd w:val="clear" w:color="auto" w:fill="D3D3D3"/>
            <w:vAlign w:val="center"/>
          </w:tcPr>
          <w:p w14:paraId="49328798">
            <w:pPr>
              <w:spacing w:before="40" w:after="40" w:line="240" w:lineRule="exact"/>
              <w:jc w:val="left"/>
              <w:rPr>
                <w:rFonts w:ascii="宋体" w:hAnsi="宋体" w:eastAsia="宋体" w:cs="宋体"/>
                <w:sz w:val="18"/>
                <w:szCs w:val="18"/>
              </w:rPr>
            </w:pPr>
            <w:r>
              <w:rPr>
                <w:rFonts w:ascii="宋体" w:hAnsi="宋体" w:eastAsia="宋体" w:cs="宋体"/>
                <w:sz w:val="18"/>
                <w:szCs w:val="18"/>
              </w:rPr>
              <w:t>办公地址</w:t>
            </w:r>
          </w:p>
        </w:tc>
        <w:tc>
          <w:tcPr>
            <w:tcW w:w="3213" w:type="dxa"/>
            <w:gridSpan w:val="2"/>
            <w:vAlign w:val="center"/>
          </w:tcPr>
          <w:p w14:paraId="7708C31D">
            <w:pPr>
              <w:spacing w:before="0" w:after="0" w:line="240" w:lineRule="exact"/>
              <w:jc w:val="left"/>
              <w:rPr>
                <w:rFonts w:ascii="宋体" w:hAnsi="宋体" w:eastAsia="宋体" w:cs="宋体"/>
                <w:sz w:val="18"/>
                <w:szCs w:val="18"/>
              </w:rPr>
            </w:pPr>
            <w:r>
              <w:rPr>
                <w:rFonts w:ascii="宋体" w:hAnsi="宋体" w:eastAsia="宋体" w:cs="宋体"/>
                <w:sz w:val="18"/>
                <w:szCs w:val="18"/>
              </w:rPr>
              <w:t>青岛市李沧区四流中支路2号</w:t>
            </w:r>
          </w:p>
        </w:tc>
        <w:tc>
          <w:tcPr>
            <w:tcW w:w="3213" w:type="dxa"/>
            <w:gridSpan w:val="2"/>
            <w:vAlign w:val="center"/>
          </w:tcPr>
          <w:p w14:paraId="0B1E0412">
            <w:pPr>
              <w:spacing w:before="0" w:after="0" w:line="240" w:lineRule="exact"/>
              <w:jc w:val="left"/>
              <w:rPr>
                <w:rFonts w:ascii="宋体" w:hAnsi="宋体" w:eastAsia="宋体" w:cs="宋体"/>
                <w:sz w:val="18"/>
                <w:szCs w:val="18"/>
              </w:rPr>
            </w:pPr>
            <w:r>
              <w:rPr>
                <w:rFonts w:ascii="宋体" w:hAnsi="宋体" w:eastAsia="宋体" w:cs="宋体"/>
                <w:sz w:val="18"/>
                <w:szCs w:val="18"/>
              </w:rPr>
              <w:t>青岛市李沧区四流中支路2号</w:t>
            </w:r>
          </w:p>
        </w:tc>
      </w:tr>
      <w:tr w14:paraId="235B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213" w:type="dxa"/>
            <w:shd w:val="clear" w:color="auto" w:fill="D3D3D3"/>
            <w:vAlign w:val="center"/>
          </w:tcPr>
          <w:p w14:paraId="377944E0">
            <w:pPr>
              <w:spacing w:before="40" w:after="40" w:line="240" w:lineRule="exact"/>
              <w:jc w:val="left"/>
              <w:rPr>
                <w:rFonts w:ascii="宋体" w:hAnsi="宋体" w:eastAsia="宋体" w:cs="宋体"/>
                <w:sz w:val="18"/>
                <w:szCs w:val="18"/>
              </w:rPr>
            </w:pPr>
            <w:r>
              <w:rPr>
                <w:rFonts w:ascii="宋体" w:hAnsi="宋体" w:eastAsia="宋体" w:cs="宋体"/>
                <w:sz w:val="18"/>
                <w:szCs w:val="18"/>
              </w:rPr>
              <w:t>电话</w:t>
            </w:r>
          </w:p>
        </w:tc>
        <w:tc>
          <w:tcPr>
            <w:tcW w:w="3213" w:type="dxa"/>
            <w:gridSpan w:val="2"/>
            <w:vAlign w:val="center"/>
          </w:tcPr>
          <w:p w14:paraId="505732DD">
            <w:pPr>
              <w:spacing w:before="0" w:after="0" w:line="240" w:lineRule="exact"/>
              <w:jc w:val="left"/>
              <w:rPr>
                <w:rFonts w:ascii="宋体" w:hAnsi="宋体" w:eastAsia="宋体" w:cs="宋体"/>
                <w:sz w:val="18"/>
                <w:szCs w:val="18"/>
              </w:rPr>
            </w:pPr>
            <w:r>
              <w:rPr>
                <w:rFonts w:ascii="宋体" w:hAnsi="宋体" w:eastAsia="宋体" w:cs="宋体"/>
                <w:sz w:val="18"/>
                <w:szCs w:val="18"/>
              </w:rPr>
              <w:t>0532-84633589</w:t>
            </w:r>
          </w:p>
        </w:tc>
        <w:tc>
          <w:tcPr>
            <w:tcW w:w="3213" w:type="dxa"/>
            <w:gridSpan w:val="2"/>
            <w:vAlign w:val="center"/>
          </w:tcPr>
          <w:p w14:paraId="776152A4">
            <w:pPr>
              <w:spacing w:before="0" w:after="0" w:line="240" w:lineRule="exact"/>
              <w:jc w:val="left"/>
              <w:rPr>
                <w:rFonts w:ascii="宋体" w:hAnsi="宋体" w:eastAsia="宋体" w:cs="宋体"/>
                <w:sz w:val="18"/>
                <w:szCs w:val="18"/>
              </w:rPr>
            </w:pPr>
            <w:r>
              <w:rPr>
                <w:rFonts w:ascii="宋体" w:hAnsi="宋体" w:eastAsia="宋体" w:cs="宋体"/>
                <w:sz w:val="18"/>
                <w:szCs w:val="18"/>
              </w:rPr>
              <w:t>0532-84633589</w:t>
            </w:r>
          </w:p>
        </w:tc>
      </w:tr>
      <w:tr w14:paraId="098C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213" w:type="dxa"/>
            <w:shd w:val="clear" w:color="auto" w:fill="D3D3D3"/>
            <w:vAlign w:val="center"/>
          </w:tcPr>
          <w:p w14:paraId="2E634CBD">
            <w:pPr>
              <w:spacing w:before="40" w:after="40" w:line="240" w:lineRule="exact"/>
              <w:jc w:val="left"/>
              <w:rPr>
                <w:rFonts w:ascii="宋体" w:hAnsi="宋体" w:eastAsia="宋体" w:cs="宋体"/>
                <w:sz w:val="18"/>
                <w:szCs w:val="18"/>
              </w:rPr>
            </w:pPr>
            <w:r>
              <w:rPr>
                <w:rFonts w:ascii="宋体" w:hAnsi="宋体" w:eastAsia="宋体" w:cs="宋体"/>
                <w:sz w:val="18"/>
                <w:szCs w:val="18"/>
              </w:rPr>
              <w:t>电子信箱</w:t>
            </w:r>
          </w:p>
        </w:tc>
        <w:tc>
          <w:tcPr>
            <w:tcW w:w="3213" w:type="dxa"/>
            <w:gridSpan w:val="2"/>
            <w:vAlign w:val="center"/>
          </w:tcPr>
          <w:p w14:paraId="7FE86566">
            <w:pPr>
              <w:spacing w:before="0" w:after="0" w:line="240" w:lineRule="exact"/>
              <w:jc w:val="left"/>
              <w:rPr>
                <w:rFonts w:ascii="宋体" w:hAnsi="宋体" w:eastAsia="宋体" w:cs="宋体"/>
                <w:sz w:val="18"/>
                <w:szCs w:val="18"/>
              </w:rPr>
            </w:pPr>
            <w:r>
              <w:rPr>
                <w:rFonts w:ascii="宋体" w:hAnsi="宋体" w:eastAsia="宋体" w:cs="宋体"/>
                <w:sz w:val="18"/>
                <w:szCs w:val="18"/>
              </w:rPr>
              <w:t>ir@qdfood.com</w:t>
            </w:r>
          </w:p>
        </w:tc>
        <w:tc>
          <w:tcPr>
            <w:tcW w:w="3213" w:type="dxa"/>
            <w:gridSpan w:val="2"/>
            <w:vAlign w:val="center"/>
          </w:tcPr>
          <w:p w14:paraId="115073A2">
            <w:pPr>
              <w:spacing w:before="0" w:after="0" w:line="240" w:lineRule="exact"/>
              <w:jc w:val="left"/>
              <w:rPr>
                <w:rFonts w:ascii="宋体" w:hAnsi="宋体" w:eastAsia="宋体" w:cs="宋体"/>
                <w:sz w:val="18"/>
                <w:szCs w:val="18"/>
              </w:rPr>
            </w:pPr>
            <w:r>
              <w:rPr>
                <w:rFonts w:ascii="宋体" w:hAnsi="宋体" w:eastAsia="宋体" w:cs="宋体"/>
                <w:sz w:val="18"/>
                <w:szCs w:val="18"/>
              </w:rPr>
              <w:t>ir@qdfood.com</w:t>
            </w:r>
          </w:p>
        </w:tc>
      </w:tr>
    </w:tbl>
    <w:p w14:paraId="49B8BA0C">
      <w:pPr>
        <w:keepNext/>
        <w:keepLines/>
        <w:spacing w:before="300" w:after="300" w:line="280" w:lineRule="exact"/>
        <w:jc w:val="left"/>
        <w:outlineLvl w:val="2"/>
        <w:rPr>
          <w:rFonts w:ascii="宋体" w:hAnsi="宋体" w:eastAsia="宋体" w:cs="宋体"/>
          <w:b/>
          <w:bCs/>
          <w:sz w:val="21"/>
          <w:szCs w:val="21"/>
        </w:rPr>
      </w:pPr>
      <w:bookmarkStart w:id="3" w:name="_Toc988892"/>
      <w:r>
        <w:rPr>
          <w:rFonts w:ascii="宋体" w:hAnsi="宋体" w:eastAsia="宋体" w:cs="宋体"/>
          <w:b/>
          <w:bCs/>
          <w:sz w:val="21"/>
          <w:szCs w:val="21"/>
        </w:rPr>
        <w:t>2、主要会计数据和财务指标</w:t>
      </w:r>
      <w:bookmarkEnd w:id="3"/>
    </w:p>
    <w:p w14:paraId="10CE76E8">
      <w:pPr>
        <w:spacing w:before="0" w:after="0" w:line="240" w:lineRule="exact"/>
        <w:jc w:val="left"/>
        <w:rPr>
          <w:rFonts w:ascii="宋体" w:hAnsi="宋体" w:eastAsia="宋体" w:cs="宋体"/>
          <w:sz w:val="18"/>
          <w:szCs w:val="18"/>
        </w:rPr>
      </w:pPr>
      <w:r>
        <w:rPr>
          <w:rFonts w:ascii="宋体" w:hAnsi="宋体" w:eastAsia="宋体" w:cs="宋体"/>
          <w:sz w:val="18"/>
          <w:szCs w:val="18"/>
        </w:rPr>
        <w:t>公司是否需追溯调整或重述以前年度会计数据</w:t>
      </w:r>
    </w:p>
    <w:p w14:paraId="7B5B48BC">
      <w:pPr>
        <w:spacing w:before="40" w:after="40" w:line="240" w:lineRule="exact"/>
        <w:jc w:val="left"/>
        <w:rPr>
          <w:rFonts w:ascii="宋体" w:hAnsi="宋体" w:eastAsia="宋体" w:cs="宋体"/>
          <w:sz w:val="18"/>
          <w:szCs w:val="18"/>
        </w:rPr>
      </w:pPr>
      <w:r>
        <w:rPr>
          <w:rFonts w:ascii="宋体" w:hAnsi="宋体" w:eastAsia="宋体" w:cs="宋体"/>
          <w:sz w:val="18"/>
          <w:szCs w:val="18"/>
        </w:rPr>
        <w:t xml:space="preserve">□是 </w:t>
      </w:r>
      <w:r>
        <w:rPr>
          <w:rFonts w:ascii="宋体" w:hAnsi="宋体" w:eastAsia="宋体" w:cs="宋体"/>
          <w:sz w:val="18"/>
          <w:szCs w:val="18"/>
        </w:rPr>
        <w:sym w:font="Wingdings 2" w:char="F052"/>
      </w:r>
      <w:r>
        <w:rPr>
          <w:rFonts w:ascii="宋体" w:hAnsi="宋体" w:eastAsia="宋体" w:cs="宋体"/>
          <w:sz w:val="18"/>
          <w:szCs w:val="18"/>
        </w:rPr>
        <w:t>否</w:t>
      </w:r>
    </w:p>
    <w:tbl>
      <w:tblPr>
        <w:tblStyle w:val="3"/>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7"/>
        <w:gridCol w:w="1700"/>
        <w:gridCol w:w="1767"/>
        <w:gridCol w:w="2466"/>
      </w:tblGrid>
      <w:tr w14:paraId="2815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6F391561"/>
        </w:tc>
        <w:tc>
          <w:tcPr>
            <w:tcW w:w="1700" w:type="dxa"/>
            <w:shd w:val="clear" w:color="auto" w:fill="D3D3D3"/>
            <w:vAlign w:val="center"/>
          </w:tcPr>
          <w:p w14:paraId="4CC83A31">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1767" w:type="dxa"/>
            <w:shd w:val="clear" w:color="auto" w:fill="D3D3D3"/>
            <w:vAlign w:val="center"/>
          </w:tcPr>
          <w:p w14:paraId="2A2CA62E">
            <w:pPr>
              <w:spacing w:before="40" w:after="4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2466" w:type="dxa"/>
            <w:shd w:val="clear" w:color="auto" w:fill="D3D3D3"/>
            <w:vAlign w:val="center"/>
          </w:tcPr>
          <w:p w14:paraId="1293BD4F">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r>
      <w:tr w14:paraId="3971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4BC321B1">
            <w:pPr>
              <w:spacing w:before="40" w:after="4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1700" w:type="dxa"/>
            <w:vAlign w:val="center"/>
          </w:tcPr>
          <w:p w14:paraId="61CA2AD5">
            <w:pPr>
              <w:spacing w:before="0" w:after="0" w:line="240" w:lineRule="exact"/>
              <w:jc w:val="right"/>
              <w:rPr>
                <w:rFonts w:ascii="宋体" w:hAnsi="宋体" w:eastAsia="宋体" w:cs="宋体"/>
                <w:sz w:val="18"/>
                <w:szCs w:val="18"/>
              </w:rPr>
            </w:pPr>
            <w:r>
              <w:rPr>
                <w:rFonts w:ascii="宋体" w:hAnsi="宋体" w:eastAsia="宋体" w:cs="宋体"/>
                <w:sz w:val="18"/>
                <w:szCs w:val="18"/>
              </w:rPr>
              <w:t>276,522,537.56</w:t>
            </w:r>
          </w:p>
        </w:tc>
        <w:tc>
          <w:tcPr>
            <w:tcW w:w="1767" w:type="dxa"/>
            <w:vAlign w:val="center"/>
          </w:tcPr>
          <w:p w14:paraId="5628EE28">
            <w:pPr>
              <w:spacing w:before="0" w:after="0" w:line="240" w:lineRule="exact"/>
              <w:jc w:val="right"/>
              <w:rPr>
                <w:rFonts w:ascii="宋体" w:hAnsi="宋体" w:eastAsia="宋体" w:cs="宋体"/>
                <w:sz w:val="18"/>
                <w:szCs w:val="18"/>
              </w:rPr>
            </w:pPr>
            <w:r>
              <w:rPr>
                <w:rFonts w:ascii="宋体" w:hAnsi="宋体" w:eastAsia="宋体" w:cs="宋体"/>
                <w:sz w:val="18"/>
                <w:szCs w:val="18"/>
              </w:rPr>
              <w:t>262,214,316.65</w:t>
            </w:r>
          </w:p>
        </w:tc>
        <w:tc>
          <w:tcPr>
            <w:tcW w:w="2466" w:type="dxa"/>
            <w:vAlign w:val="center"/>
          </w:tcPr>
          <w:p w14:paraId="1FFA2B9C">
            <w:pPr>
              <w:spacing w:before="0" w:after="0" w:line="240" w:lineRule="exact"/>
              <w:jc w:val="right"/>
              <w:rPr>
                <w:rFonts w:ascii="宋体" w:hAnsi="宋体" w:eastAsia="宋体" w:cs="宋体"/>
                <w:sz w:val="18"/>
                <w:szCs w:val="18"/>
              </w:rPr>
            </w:pPr>
            <w:r>
              <w:rPr>
                <w:rFonts w:ascii="宋体" w:hAnsi="宋体" w:eastAsia="宋体" w:cs="宋体"/>
                <w:sz w:val="18"/>
                <w:szCs w:val="18"/>
              </w:rPr>
              <w:t>5.46%</w:t>
            </w:r>
          </w:p>
        </w:tc>
      </w:tr>
      <w:tr w14:paraId="4C41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6AAC196B">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1700" w:type="dxa"/>
            <w:vAlign w:val="center"/>
          </w:tcPr>
          <w:p w14:paraId="192E941B">
            <w:pPr>
              <w:spacing w:before="0" w:after="0" w:line="240" w:lineRule="exact"/>
              <w:jc w:val="right"/>
              <w:rPr>
                <w:rFonts w:ascii="宋体" w:hAnsi="宋体" w:eastAsia="宋体" w:cs="宋体"/>
                <w:sz w:val="18"/>
                <w:szCs w:val="18"/>
              </w:rPr>
            </w:pPr>
            <w:r>
              <w:rPr>
                <w:rFonts w:ascii="宋体" w:hAnsi="宋体" w:eastAsia="宋体" w:cs="宋体"/>
                <w:sz w:val="18"/>
                <w:szCs w:val="18"/>
              </w:rPr>
              <w:t>64,725,533.93</w:t>
            </w:r>
          </w:p>
        </w:tc>
        <w:tc>
          <w:tcPr>
            <w:tcW w:w="1767" w:type="dxa"/>
            <w:vAlign w:val="center"/>
          </w:tcPr>
          <w:p w14:paraId="17FE4F90">
            <w:pPr>
              <w:spacing w:before="0" w:after="0" w:line="240" w:lineRule="exact"/>
              <w:jc w:val="right"/>
              <w:rPr>
                <w:rFonts w:ascii="宋体" w:hAnsi="宋体" w:eastAsia="宋体" w:cs="宋体"/>
                <w:sz w:val="18"/>
                <w:szCs w:val="18"/>
              </w:rPr>
            </w:pPr>
            <w:r>
              <w:rPr>
                <w:rFonts w:ascii="宋体" w:hAnsi="宋体" w:eastAsia="宋体" w:cs="宋体"/>
                <w:sz w:val="18"/>
                <w:szCs w:val="18"/>
              </w:rPr>
              <w:t>60,038,963.46</w:t>
            </w:r>
          </w:p>
        </w:tc>
        <w:tc>
          <w:tcPr>
            <w:tcW w:w="2466" w:type="dxa"/>
            <w:vAlign w:val="center"/>
          </w:tcPr>
          <w:p w14:paraId="73F69062">
            <w:pPr>
              <w:spacing w:before="0" w:after="0" w:line="240" w:lineRule="exact"/>
              <w:jc w:val="right"/>
              <w:rPr>
                <w:rFonts w:ascii="宋体" w:hAnsi="宋体" w:eastAsia="宋体" w:cs="宋体"/>
                <w:sz w:val="18"/>
                <w:szCs w:val="18"/>
              </w:rPr>
            </w:pPr>
            <w:r>
              <w:rPr>
                <w:rFonts w:ascii="宋体" w:hAnsi="宋体" w:eastAsia="宋体" w:cs="宋体"/>
                <w:sz w:val="18"/>
                <w:szCs w:val="18"/>
              </w:rPr>
              <w:t>7.81%</w:t>
            </w:r>
          </w:p>
        </w:tc>
      </w:tr>
      <w:tr w14:paraId="399C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0370974B">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1700" w:type="dxa"/>
            <w:vAlign w:val="center"/>
          </w:tcPr>
          <w:p w14:paraId="76147C2A">
            <w:pPr>
              <w:spacing w:before="0" w:after="0" w:line="240" w:lineRule="exact"/>
              <w:jc w:val="right"/>
              <w:rPr>
                <w:rFonts w:ascii="宋体" w:hAnsi="宋体" w:eastAsia="宋体" w:cs="宋体"/>
                <w:sz w:val="18"/>
                <w:szCs w:val="18"/>
              </w:rPr>
            </w:pPr>
            <w:r>
              <w:rPr>
                <w:rFonts w:ascii="宋体" w:hAnsi="宋体" w:eastAsia="宋体" w:cs="宋体"/>
                <w:sz w:val="18"/>
                <w:szCs w:val="18"/>
              </w:rPr>
              <w:t>61,508,273.47</w:t>
            </w:r>
          </w:p>
        </w:tc>
        <w:tc>
          <w:tcPr>
            <w:tcW w:w="1767" w:type="dxa"/>
            <w:vAlign w:val="center"/>
          </w:tcPr>
          <w:p w14:paraId="7D9470EA">
            <w:pPr>
              <w:spacing w:before="0" w:after="0" w:line="240" w:lineRule="exact"/>
              <w:jc w:val="right"/>
              <w:rPr>
                <w:rFonts w:ascii="宋体" w:hAnsi="宋体" w:eastAsia="宋体" w:cs="宋体"/>
                <w:sz w:val="18"/>
                <w:szCs w:val="18"/>
              </w:rPr>
            </w:pPr>
            <w:r>
              <w:rPr>
                <w:rFonts w:ascii="宋体" w:hAnsi="宋体" w:eastAsia="宋体" w:cs="宋体"/>
                <w:sz w:val="18"/>
                <w:szCs w:val="18"/>
              </w:rPr>
              <w:t>52,224,377.61</w:t>
            </w:r>
          </w:p>
        </w:tc>
        <w:tc>
          <w:tcPr>
            <w:tcW w:w="2466" w:type="dxa"/>
            <w:vAlign w:val="center"/>
          </w:tcPr>
          <w:p w14:paraId="7EABBB15">
            <w:pPr>
              <w:spacing w:before="0" w:after="0" w:line="240" w:lineRule="exact"/>
              <w:jc w:val="right"/>
              <w:rPr>
                <w:rFonts w:ascii="宋体" w:hAnsi="宋体" w:eastAsia="宋体" w:cs="宋体"/>
                <w:sz w:val="18"/>
                <w:szCs w:val="18"/>
              </w:rPr>
            </w:pPr>
            <w:r>
              <w:rPr>
                <w:rFonts w:ascii="宋体" w:hAnsi="宋体" w:eastAsia="宋体" w:cs="宋体"/>
                <w:sz w:val="18"/>
                <w:szCs w:val="18"/>
              </w:rPr>
              <w:t>17.78%</w:t>
            </w:r>
          </w:p>
        </w:tc>
      </w:tr>
      <w:tr w14:paraId="1348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5814E884">
            <w:pPr>
              <w:spacing w:before="40" w:after="4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1700" w:type="dxa"/>
            <w:vAlign w:val="center"/>
          </w:tcPr>
          <w:p w14:paraId="6AD03406">
            <w:pPr>
              <w:spacing w:before="0" w:after="0" w:line="240" w:lineRule="exact"/>
              <w:jc w:val="right"/>
              <w:rPr>
                <w:rFonts w:ascii="宋体" w:hAnsi="宋体" w:eastAsia="宋体" w:cs="宋体"/>
                <w:sz w:val="18"/>
                <w:szCs w:val="18"/>
              </w:rPr>
            </w:pPr>
            <w:r>
              <w:rPr>
                <w:rFonts w:ascii="宋体" w:hAnsi="宋体" w:eastAsia="宋体" w:cs="宋体"/>
                <w:sz w:val="18"/>
                <w:szCs w:val="18"/>
              </w:rPr>
              <w:t>54,053,092.35</w:t>
            </w:r>
          </w:p>
        </w:tc>
        <w:tc>
          <w:tcPr>
            <w:tcW w:w="1767" w:type="dxa"/>
            <w:vAlign w:val="center"/>
          </w:tcPr>
          <w:p w14:paraId="594FCE74">
            <w:pPr>
              <w:spacing w:before="0" w:after="0" w:line="240" w:lineRule="exact"/>
              <w:jc w:val="right"/>
              <w:rPr>
                <w:rFonts w:ascii="宋体" w:hAnsi="宋体" w:eastAsia="宋体" w:cs="宋体"/>
                <w:sz w:val="18"/>
                <w:szCs w:val="18"/>
              </w:rPr>
            </w:pPr>
            <w:r>
              <w:rPr>
                <w:rFonts w:ascii="宋体" w:hAnsi="宋体" w:eastAsia="宋体" w:cs="宋体"/>
                <w:sz w:val="18"/>
                <w:szCs w:val="18"/>
              </w:rPr>
              <w:t>33,725,991.54</w:t>
            </w:r>
          </w:p>
        </w:tc>
        <w:tc>
          <w:tcPr>
            <w:tcW w:w="2466" w:type="dxa"/>
            <w:vAlign w:val="center"/>
          </w:tcPr>
          <w:p w14:paraId="373BA916">
            <w:pPr>
              <w:spacing w:before="0" w:after="0" w:line="240" w:lineRule="exact"/>
              <w:jc w:val="right"/>
              <w:rPr>
                <w:rFonts w:ascii="宋体" w:hAnsi="宋体" w:eastAsia="宋体" w:cs="宋体"/>
                <w:sz w:val="18"/>
                <w:szCs w:val="18"/>
              </w:rPr>
            </w:pPr>
            <w:r>
              <w:rPr>
                <w:rFonts w:ascii="宋体" w:hAnsi="宋体" w:eastAsia="宋体" w:cs="宋体"/>
                <w:sz w:val="18"/>
                <w:szCs w:val="18"/>
              </w:rPr>
              <w:t>60.27%</w:t>
            </w:r>
          </w:p>
        </w:tc>
      </w:tr>
      <w:tr w14:paraId="1A0B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7711796D">
            <w:pPr>
              <w:spacing w:before="40" w:after="4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700" w:type="dxa"/>
            <w:vAlign w:val="center"/>
          </w:tcPr>
          <w:p w14:paraId="767150A2">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1767" w:type="dxa"/>
            <w:vAlign w:val="center"/>
          </w:tcPr>
          <w:p w14:paraId="7EA2DE4A">
            <w:pPr>
              <w:spacing w:before="0" w:after="0" w:line="240" w:lineRule="exact"/>
              <w:jc w:val="right"/>
              <w:rPr>
                <w:rFonts w:ascii="宋体" w:hAnsi="宋体" w:eastAsia="宋体" w:cs="宋体"/>
                <w:sz w:val="18"/>
                <w:szCs w:val="18"/>
              </w:rPr>
            </w:pPr>
            <w:r>
              <w:rPr>
                <w:rFonts w:ascii="宋体" w:hAnsi="宋体" w:eastAsia="宋体" w:cs="宋体"/>
                <w:sz w:val="18"/>
                <w:szCs w:val="18"/>
              </w:rPr>
              <w:t>0.31</w:t>
            </w:r>
          </w:p>
        </w:tc>
        <w:tc>
          <w:tcPr>
            <w:tcW w:w="2466" w:type="dxa"/>
            <w:vAlign w:val="center"/>
          </w:tcPr>
          <w:p w14:paraId="1EABA005">
            <w:pPr>
              <w:spacing w:before="0" w:after="0" w:line="240" w:lineRule="exact"/>
              <w:jc w:val="right"/>
              <w:rPr>
                <w:rFonts w:ascii="宋体" w:hAnsi="宋体" w:eastAsia="宋体" w:cs="宋体"/>
                <w:sz w:val="18"/>
                <w:szCs w:val="18"/>
              </w:rPr>
            </w:pPr>
            <w:r>
              <w:rPr>
                <w:rFonts w:ascii="宋体" w:hAnsi="宋体" w:eastAsia="宋体" w:cs="宋体"/>
                <w:sz w:val="18"/>
                <w:szCs w:val="18"/>
              </w:rPr>
              <w:t>6.45%</w:t>
            </w:r>
          </w:p>
        </w:tc>
      </w:tr>
      <w:tr w14:paraId="0729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00ED735F">
            <w:pPr>
              <w:spacing w:before="40" w:after="4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700" w:type="dxa"/>
            <w:vAlign w:val="center"/>
          </w:tcPr>
          <w:p w14:paraId="4B0BB3CD">
            <w:pPr>
              <w:spacing w:before="0" w:after="0" w:line="240" w:lineRule="exact"/>
              <w:jc w:val="right"/>
              <w:rPr>
                <w:rFonts w:ascii="宋体" w:hAnsi="宋体" w:eastAsia="宋体" w:cs="宋体"/>
                <w:sz w:val="18"/>
                <w:szCs w:val="18"/>
              </w:rPr>
            </w:pPr>
            <w:r>
              <w:rPr>
                <w:rFonts w:ascii="宋体" w:hAnsi="宋体" w:eastAsia="宋体" w:cs="宋体"/>
                <w:sz w:val="18"/>
                <w:szCs w:val="18"/>
              </w:rPr>
              <w:t>0.33</w:t>
            </w:r>
          </w:p>
        </w:tc>
        <w:tc>
          <w:tcPr>
            <w:tcW w:w="1767" w:type="dxa"/>
            <w:vAlign w:val="center"/>
          </w:tcPr>
          <w:p w14:paraId="094B1720">
            <w:pPr>
              <w:spacing w:before="0" w:after="0" w:line="240" w:lineRule="exact"/>
              <w:jc w:val="right"/>
              <w:rPr>
                <w:rFonts w:ascii="宋体" w:hAnsi="宋体" w:eastAsia="宋体" w:cs="宋体"/>
                <w:sz w:val="18"/>
                <w:szCs w:val="18"/>
              </w:rPr>
            </w:pPr>
            <w:r>
              <w:rPr>
                <w:rFonts w:ascii="宋体" w:hAnsi="宋体" w:eastAsia="宋体" w:cs="宋体"/>
                <w:sz w:val="18"/>
                <w:szCs w:val="18"/>
              </w:rPr>
              <w:t>0.31</w:t>
            </w:r>
          </w:p>
        </w:tc>
        <w:tc>
          <w:tcPr>
            <w:tcW w:w="2466" w:type="dxa"/>
            <w:vAlign w:val="center"/>
          </w:tcPr>
          <w:p w14:paraId="20E19FB2">
            <w:pPr>
              <w:spacing w:before="0" w:after="0" w:line="240" w:lineRule="exact"/>
              <w:jc w:val="right"/>
              <w:rPr>
                <w:rFonts w:ascii="宋体" w:hAnsi="宋体" w:eastAsia="宋体" w:cs="宋体"/>
                <w:sz w:val="18"/>
                <w:szCs w:val="18"/>
              </w:rPr>
            </w:pPr>
            <w:r>
              <w:rPr>
                <w:rFonts w:ascii="宋体" w:hAnsi="宋体" w:eastAsia="宋体" w:cs="宋体"/>
                <w:sz w:val="18"/>
                <w:szCs w:val="18"/>
              </w:rPr>
              <w:t>6.45%</w:t>
            </w:r>
          </w:p>
        </w:tc>
      </w:tr>
      <w:tr w14:paraId="242C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4CA70029">
            <w:pPr>
              <w:spacing w:before="40" w:after="4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700" w:type="dxa"/>
            <w:vAlign w:val="center"/>
          </w:tcPr>
          <w:p w14:paraId="19651B30">
            <w:pPr>
              <w:spacing w:before="0" w:after="0" w:line="240" w:lineRule="exact"/>
              <w:jc w:val="right"/>
              <w:rPr>
                <w:rFonts w:ascii="宋体" w:hAnsi="宋体" w:eastAsia="宋体" w:cs="宋体"/>
                <w:sz w:val="18"/>
                <w:szCs w:val="18"/>
              </w:rPr>
            </w:pPr>
            <w:r>
              <w:rPr>
                <w:rFonts w:ascii="宋体" w:hAnsi="宋体" w:eastAsia="宋体" w:cs="宋体"/>
                <w:sz w:val="18"/>
                <w:szCs w:val="18"/>
              </w:rPr>
              <w:t>6.16%</w:t>
            </w:r>
          </w:p>
        </w:tc>
        <w:tc>
          <w:tcPr>
            <w:tcW w:w="1767" w:type="dxa"/>
            <w:vAlign w:val="center"/>
          </w:tcPr>
          <w:p w14:paraId="2034015A">
            <w:pPr>
              <w:spacing w:before="0" w:after="0" w:line="240" w:lineRule="exact"/>
              <w:jc w:val="right"/>
              <w:rPr>
                <w:rFonts w:ascii="宋体" w:hAnsi="宋体" w:eastAsia="宋体" w:cs="宋体"/>
                <w:sz w:val="18"/>
                <w:szCs w:val="18"/>
              </w:rPr>
            </w:pPr>
            <w:r>
              <w:rPr>
                <w:rFonts w:ascii="宋体" w:hAnsi="宋体" w:eastAsia="宋体" w:cs="宋体"/>
                <w:sz w:val="18"/>
                <w:szCs w:val="18"/>
              </w:rPr>
              <w:t>6.02%</w:t>
            </w:r>
          </w:p>
        </w:tc>
        <w:tc>
          <w:tcPr>
            <w:tcW w:w="2466" w:type="dxa"/>
            <w:vAlign w:val="center"/>
          </w:tcPr>
          <w:p w14:paraId="4A031525">
            <w:pPr>
              <w:spacing w:before="0" w:after="0" w:line="240" w:lineRule="exact"/>
              <w:jc w:val="right"/>
              <w:rPr>
                <w:rFonts w:ascii="宋体" w:hAnsi="宋体" w:eastAsia="宋体" w:cs="宋体"/>
                <w:sz w:val="18"/>
                <w:szCs w:val="18"/>
              </w:rPr>
            </w:pPr>
            <w:r>
              <w:rPr>
                <w:rFonts w:ascii="宋体" w:hAnsi="宋体" w:eastAsia="宋体" w:cs="宋体"/>
                <w:sz w:val="18"/>
                <w:szCs w:val="18"/>
              </w:rPr>
              <w:t>0.14%</w:t>
            </w:r>
          </w:p>
        </w:tc>
      </w:tr>
      <w:tr w14:paraId="7D76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4DF17E6A"/>
        </w:tc>
        <w:tc>
          <w:tcPr>
            <w:tcW w:w="1700" w:type="dxa"/>
            <w:shd w:val="clear" w:color="auto" w:fill="D3D3D3"/>
            <w:vAlign w:val="center"/>
          </w:tcPr>
          <w:p w14:paraId="231FCE6F">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1767" w:type="dxa"/>
            <w:shd w:val="clear" w:color="auto" w:fill="D3D3D3"/>
            <w:vAlign w:val="center"/>
          </w:tcPr>
          <w:p w14:paraId="30D879B0">
            <w:pPr>
              <w:spacing w:before="40" w:after="4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2466" w:type="dxa"/>
            <w:shd w:val="clear" w:color="auto" w:fill="D3D3D3"/>
            <w:vAlign w:val="center"/>
          </w:tcPr>
          <w:p w14:paraId="4823B201">
            <w:pPr>
              <w:spacing w:before="40" w:after="4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14:paraId="5C70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45799A1A">
            <w:pPr>
              <w:spacing w:before="40" w:after="40" w:line="240" w:lineRule="exact"/>
              <w:jc w:val="left"/>
              <w:rPr>
                <w:rFonts w:ascii="宋体" w:hAnsi="宋体" w:eastAsia="宋体" w:cs="宋体"/>
                <w:sz w:val="18"/>
                <w:szCs w:val="18"/>
              </w:rPr>
            </w:pPr>
            <w:r>
              <w:rPr>
                <w:rFonts w:ascii="宋体" w:hAnsi="宋体" w:eastAsia="宋体" w:cs="宋体"/>
                <w:sz w:val="18"/>
                <w:szCs w:val="18"/>
              </w:rPr>
              <w:t>总资产（元）</w:t>
            </w:r>
          </w:p>
        </w:tc>
        <w:tc>
          <w:tcPr>
            <w:tcW w:w="1700" w:type="dxa"/>
            <w:vAlign w:val="center"/>
          </w:tcPr>
          <w:p w14:paraId="0E0670C1">
            <w:pPr>
              <w:spacing w:before="0" w:after="0" w:line="240" w:lineRule="exact"/>
              <w:jc w:val="right"/>
              <w:rPr>
                <w:rFonts w:ascii="宋体" w:hAnsi="宋体" w:eastAsia="宋体" w:cs="宋体"/>
                <w:sz w:val="18"/>
                <w:szCs w:val="18"/>
              </w:rPr>
            </w:pPr>
            <w:r>
              <w:rPr>
                <w:rFonts w:ascii="宋体" w:hAnsi="宋体" w:eastAsia="宋体" w:cs="宋体"/>
                <w:sz w:val="18"/>
                <w:szCs w:val="18"/>
              </w:rPr>
              <w:t>1,163,780,022.34</w:t>
            </w:r>
          </w:p>
        </w:tc>
        <w:tc>
          <w:tcPr>
            <w:tcW w:w="1767" w:type="dxa"/>
            <w:vAlign w:val="center"/>
          </w:tcPr>
          <w:p w14:paraId="168380D7">
            <w:pPr>
              <w:spacing w:before="0" w:after="0" w:line="240" w:lineRule="exact"/>
              <w:jc w:val="right"/>
              <w:rPr>
                <w:rFonts w:ascii="宋体" w:hAnsi="宋体" w:eastAsia="宋体" w:cs="宋体"/>
                <w:sz w:val="18"/>
                <w:szCs w:val="18"/>
              </w:rPr>
            </w:pPr>
            <w:r>
              <w:rPr>
                <w:rFonts w:ascii="宋体" w:hAnsi="宋体" w:eastAsia="宋体" w:cs="宋体"/>
                <w:sz w:val="18"/>
                <w:szCs w:val="18"/>
              </w:rPr>
              <w:t>1,153,157,818.30</w:t>
            </w:r>
          </w:p>
        </w:tc>
        <w:tc>
          <w:tcPr>
            <w:tcW w:w="2466" w:type="dxa"/>
            <w:vAlign w:val="center"/>
          </w:tcPr>
          <w:p w14:paraId="79BA6344">
            <w:pPr>
              <w:spacing w:before="0" w:after="0" w:line="240" w:lineRule="exact"/>
              <w:jc w:val="right"/>
              <w:rPr>
                <w:rFonts w:ascii="宋体" w:hAnsi="宋体" w:eastAsia="宋体" w:cs="宋体"/>
                <w:sz w:val="18"/>
                <w:szCs w:val="18"/>
              </w:rPr>
            </w:pPr>
            <w:r>
              <w:rPr>
                <w:rFonts w:ascii="宋体" w:hAnsi="宋体" w:eastAsia="宋体" w:cs="宋体"/>
                <w:sz w:val="18"/>
                <w:szCs w:val="18"/>
              </w:rPr>
              <w:t>0.92%</w:t>
            </w:r>
          </w:p>
        </w:tc>
      </w:tr>
      <w:tr w14:paraId="270D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707" w:type="dxa"/>
            <w:shd w:val="clear" w:color="auto" w:fill="D3D3D3"/>
            <w:vAlign w:val="center"/>
          </w:tcPr>
          <w:p w14:paraId="75D0384B">
            <w:pPr>
              <w:spacing w:before="40" w:after="40" w:line="240" w:lineRule="exact"/>
              <w:jc w:val="left"/>
              <w:rPr>
                <w:rFonts w:ascii="宋体" w:hAnsi="宋体" w:eastAsia="宋体" w:cs="宋体"/>
                <w:sz w:val="18"/>
                <w:szCs w:val="18"/>
              </w:rPr>
            </w:pPr>
            <w:r>
              <w:rPr>
                <w:rFonts w:ascii="宋体" w:hAnsi="宋体" w:eastAsia="宋体" w:cs="宋体"/>
                <w:sz w:val="18"/>
                <w:szCs w:val="18"/>
              </w:rPr>
              <w:t>归属于上市公司股东的净资产（元）</w:t>
            </w:r>
          </w:p>
        </w:tc>
        <w:tc>
          <w:tcPr>
            <w:tcW w:w="1700" w:type="dxa"/>
            <w:vAlign w:val="center"/>
          </w:tcPr>
          <w:p w14:paraId="6CC9E279">
            <w:pPr>
              <w:spacing w:before="0" w:after="0" w:line="240" w:lineRule="exact"/>
              <w:jc w:val="right"/>
              <w:rPr>
                <w:rFonts w:ascii="宋体" w:hAnsi="宋体" w:eastAsia="宋体" w:cs="宋体"/>
                <w:sz w:val="18"/>
                <w:szCs w:val="18"/>
              </w:rPr>
            </w:pPr>
            <w:r>
              <w:rPr>
                <w:rFonts w:ascii="宋体" w:hAnsi="宋体" w:eastAsia="宋体" w:cs="宋体"/>
                <w:sz w:val="18"/>
                <w:szCs w:val="18"/>
              </w:rPr>
              <w:t>1,033,886,896.48</w:t>
            </w:r>
          </w:p>
        </w:tc>
        <w:tc>
          <w:tcPr>
            <w:tcW w:w="1767" w:type="dxa"/>
            <w:vAlign w:val="center"/>
          </w:tcPr>
          <w:p w14:paraId="43652593">
            <w:pPr>
              <w:spacing w:before="0" w:after="0" w:line="240" w:lineRule="exact"/>
              <w:jc w:val="right"/>
              <w:rPr>
                <w:rFonts w:ascii="宋体" w:hAnsi="宋体" w:eastAsia="宋体" w:cs="宋体"/>
                <w:sz w:val="18"/>
                <w:szCs w:val="18"/>
              </w:rPr>
            </w:pPr>
            <w:r>
              <w:rPr>
                <w:rFonts w:ascii="宋体" w:hAnsi="宋体" w:eastAsia="宋体" w:cs="宋体"/>
                <w:sz w:val="18"/>
                <w:szCs w:val="18"/>
              </w:rPr>
              <w:t>1,027,310,209.84</w:t>
            </w:r>
          </w:p>
        </w:tc>
        <w:tc>
          <w:tcPr>
            <w:tcW w:w="2466" w:type="dxa"/>
            <w:vAlign w:val="center"/>
          </w:tcPr>
          <w:p w14:paraId="50C8501E">
            <w:pPr>
              <w:spacing w:before="0" w:after="0" w:line="240" w:lineRule="exact"/>
              <w:jc w:val="right"/>
              <w:rPr>
                <w:rFonts w:ascii="宋体" w:hAnsi="宋体" w:eastAsia="宋体" w:cs="宋体"/>
                <w:sz w:val="18"/>
                <w:szCs w:val="18"/>
              </w:rPr>
            </w:pPr>
            <w:r>
              <w:rPr>
                <w:rFonts w:ascii="宋体" w:hAnsi="宋体" w:eastAsia="宋体" w:cs="宋体"/>
                <w:sz w:val="18"/>
                <w:szCs w:val="18"/>
              </w:rPr>
              <w:t>0.64%</w:t>
            </w:r>
          </w:p>
        </w:tc>
      </w:tr>
    </w:tbl>
    <w:p w14:paraId="37A95288">
      <w:pPr>
        <w:keepNext/>
        <w:keepLines/>
        <w:pageBreakBefore w:val="0"/>
        <w:widowControl w:val="0"/>
        <w:kinsoku/>
        <w:wordWrap/>
        <w:overflowPunct/>
        <w:topLinePunct w:val="0"/>
        <w:autoSpaceDE/>
        <w:autoSpaceDN/>
        <w:bidi w:val="0"/>
        <w:adjustRightInd/>
        <w:snapToGrid/>
        <w:spacing w:before="300" w:after="100" w:line="280" w:lineRule="exact"/>
        <w:jc w:val="left"/>
        <w:textAlignment w:val="auto"/>
        <w:outlineLvl w:val="2"/>
        <w:rPr>
          <w:rFonts w:ascii="宋体" w:hAnsi="宋体" w:eastAsia="宋体" w:cs="宋体"/>
          <w:b/>
          <w:bCs/>
          <w:sz w:val="21"/>
          <w:szCs w:val="21"/>
        </w:rPr>
      </w:pPr>
      <w:bookmarkStart w:id="4" w:name="_Toc988893"/>
      <w:r>
        <w:rPr>
          <w:rFonts w:ascii="宋体" w:hAnsi="宋体" w:eastAsia="宋体" w:cs="宋体"/>
          <w:b/>
          <w:bCs/>
          <w:sz w:val="21"/>
          <w:szCs w:val="21"/>
        </w:rPr>
        <w:t>3、公司股东数量及持股情况</w:t>
      </w:r>
      <w:bookmarkEnd w:id="4"/>
    </w:p>
    <w:p w14:paraId="76FF219F">
      <w:pPr>
        <w:spacing w:before="120" w:after="12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510"/>
        <w:gridCol w:w="360"/>
        <w:gridCol w:w="675"/>
        <w:gridCol w:w="775"/>
        <w:gridCol w:w="215"/>
        <w:gridCol w:w="1485"/>
        <w:gridCol w:w="1513"/>
        <w:gridCol w:w="212"/>
        <w:gridCol w:w="859"/>
        <w:gridCol w:w="1071"/>
      </w:tblGrid>
      <w:tr w14:paraId="51CB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474" w:type="dxa"/>
            <w:gridSpan w:val="2"/>
            <w:shd w:val="clear" w:color="auto" w:fill="D3D3D3"/>
            <w:vAlign w:val="center"/>
          </w:tcPr>
          <w:p w14:paraId="62C2228B">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1810" w:type="dxa"/>
            <w:gridSpan w:val="3"/>
            <w:vAlign w:val="center"/>
          </w:tcPr>
          <w:p w14:paraId="7FBA669D">
            <w:pPr>
              <w:spacing w:before="0" w:after="0" w:line="240" w:lineRule="exact"/>
              <w:jc w:val="right"/>
              <w:rPr>
                <w:rFonts w:ascii="宋体" w:hAnsi="宋体" w:eastAsia="宋体" w:cs="宋体"/>
                <w:sz w:val="18"/>
                <w:szCs w:val="18"/>
              </w:rPr>
            </w:pPr>
            <w:r>
              <w:rPr>
                <w:rFonts w:ascii="宋体" w:hAnsi="宋体" w:eastAsia="宋体" w:cs="宋体"/>
                <w:sz w:val="18"/>
                <w:szCs w:val="18"/>
              </w:rPr>
              <w:t>17,984</w:t>
            </w:r>
          </w:p>
        </w:tc>
        <w:tc>
          <w:tcPr>
            <w:tcW w:w="3425" w:type="dxa"/>
            <w:gridSpan w:val="4"/>
            <w:shd w:val="clear" w:color="auto" w:fill="D3D3D3"/>
            <w:vAlign w:val="center"/>
          </w:tcPr>
          <w:p w14:paraId="523930F0">
            <w:pPr>
              <w:spacing w:before="40" w:after="4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w:t>
            </w:r>
          </w:p>
        </w:tc>
        <w:tc>
          <w:tcPr>
            <w:tcW w:w="1930" w:type="dxa"/>
            <w:gridSpan w:val="2"/>
            <w:vAlign w:val="center"/>
          </w:tcPr>
          <w:p w14:paraId="779344BA">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14:paraId="7418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639" w:type="dxa"/>
            <w:gridSpan w:val="11"/>
            <w:shd w:val="clear" w:color="auto" w:fill="D3D3D3"/>
            <w:vAlign w:val="center"/>
          </w:tcPr>
          <w:p w14:paraId="76F08135">
            <w:pPr>
              <w:spacing w:before="40" w:after="40" w:line="240" w:lineRule="exact"/>
              <w:jc w:val="center"/>
              <w:rPr>
                <w:rFonts w:ascii="宋体" w:hAnsi="宋体" w:eastAsia="宋体" w:cs="宋体"/>
                <w:sz w:val="18"/>
                <w:szCs w:val="18"/>
              </w:rPr>
            </w:pPr>
            <w:r>
              <w:rPr>
                <w:rFonts w:ascii="宋体" w:hAnsi="宋体" w:eastAsia="宋体" w:cs="宋体"/>
                <w:sz w:val="18"/>
                <w:szCs w:val="18"/>
              </w:rPr>
              <w:t>前10名股东持股情况（不含通过转融通出借股份）</w:t>
            </w:r>
          </w:p>
        </w:tc>
      </w:tr>
      <w:tr w14:paraId="1130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Merge w:val="restart"/>
            <w:shd w:val="clear" w:color="auto" w:fill="D3D3D3"/>
            <w:vAlign w:val="center"/>
          </w:tcPr>
          <w:p w14:paraId="7BDDB08B">
            <w:pPr>
              <w:spacing w:before="40" w:after="4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545" w:type="dxa"/>
            <w:gridSpan w:val="3"/>
            <w:vMerge w:val="restart"/>
            <w:shd w:val="clear" w:color="auto" w:fill="D3D3D3"/>
            <w:vAlign w:val="center"/>
          </w:tcPr>
          <w:p w14:paraId="16437119">
            <w:pPr>
              <w:spacing w:before="40" w:after="4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990" w:type="dxa"/>
            <w:gridSpan w:val="2"/>
            <w:vMerge w:val="restart"/>
            <w:shd w:val="clear" w:color="auto" w:fill="D3D3D3"/>
            <w:vAlign w:val="center"/>
          </w:tcPr>
          <w:p w14:paraId="5DA46FA1">
            <w:pPr>
              <w:spacing w:before="40" w:after="4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485" w:type="dxa"/>
            <w:vMerge w:val="restart"/>
            <w:shd w:val="clear" w:color="auto" w:fill="D3D3D3"/>
            <w:vAlign w:val="center"/>
          </w:tcPr>
          <w:p w14:paraId="51A56E11">
            <w:pPr>
              <w:spacing w:before="40" w:after="40" w:line="240" w:lineRule="exact"/>
              <w:jc w:val="center"/>
              <w:rPr>
                <w:rFonts w:ascii="宋体" w:hAnsi="宋体" w:eastAsia="宋体" w:cs="宋体"/>
                <w:sz w:val="18"/>
                <w:szCs w:val="18"/>
              </w:rPr>
            </w:pPr>
            <w:r>
              <w:rPr>
                <w:rFonts w:ascii="宋体" w:hAnsi="宋体" w:eastAsia="宋体" w:cs="宋体"/>
                <w:sz w:val="18"/>
                <w:szCs w:val="18"/>
              </w:rPr>
              <w:t>持股数量</w:t>
            </w:r>
          </w:p>
        </w:tc>
        <w:tc>
          <w:tcPr>
            <w:tcW w:w="1513" w:type="dxa"/>
            <w:vMerge w:val="restart"/>
            <w:shd w:val="clear" w:color="auto" w:fill="D3D3D3"/>
            <w:vAlign w:val="center"/>
          </w:tcPr>
          <w:p w14:paraId="7CF08B62">
            <w:pPr>
              <w:spacing w:before="40" w:after="4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2142" w:type="dxa"/>
            <w:gridSpan w:val="3"/>
            <w:shd w:val="clear" w:color="auto" w:fill="D3D3D3"/>
            <w:vAlign w:val="center"/>
          </w:tcPr>
          <w:p w14:paraId="51B533EA">
            <w:pPr>
              <w:spacing w:before="40" w:after="4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14:paraId="54A0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Merge w:val="continue"/>
            <w:shd w:val="clear" w:color="auto" w:fill="D3D3D3"/>
            <w:vAlign w:val="center"/>
          </w:tcPr>
          <w:p w14:paraId="2FAAB4CD"/>
        </w:tc>
        <w:tc>
          <w:tcPr>
            <w:tcW w:w="1545" w:type="dxa"/>
            <w:gridSpan w:val="3"/>
            <w:vMerge w:val="continue"/>
            <w:shd w:val="clear" w:color="auto" w:fill="D3D3D3"/>
            <w:vAlign w:val="center"/>
          </w:tcPr>
          <w:p w14:paraId="5C8AFF8A"/>
        </w:tc>
        <w:tc>
          <w:tcPr>
            <w:tcW w:w="990" w:type="dxa"/>
            <w:gridSpan w:val="2"/>
            <w:vMerge w:val="continue"/>
            <w:shd w:val="clear" w:color="auto" w:fill="D3D3D3"/>
            <w:vAlign w:val="center"/>
          </w:tcPr>
          <w:p w14:paraId="065809F3"/>
        </w:tc>
        <w:tc>
          <w:tcPr>
            <w:tcW w:w="1485" w:type="dxa"/>
            <w:vMerge w:val="continue"/>
            <w:shd w:val="clear" w:color="auto" w:fill="D3D3D3"/>
            <w:vAlign w:val="center"/>
          </w:tcPr>
          <w:p w14:paraId="73CB49B0"/>
        </w:tc>
        <w:tc>
          <w:tcPr>
            <w:tcW w:w="1513" w:type="dxa"/>
            <w:vMerge w:val="continue"/>
            <w:shd w:val="clear" w:color="auto" w:fill="D3D3D3"/>
            <w:vAlign w:val="center"/>
          </w:tcPr>
          <w:p w14:paraId="756EE063"/>
        </w:tc>
        <w:tc>
          <w:tcPr>
            <w:tcW w:w="1071" w:type="dxa"/>
            <w:gridSpan w:val="2"/>
            <w:shd w:val="clear" w:color="auto" w:fill="D3D3D3"/>
            <w:vAlign w:val="center"/>
          </w:tcPr>
          <w:p w14:paraId="4045B95C">
            <w:pPr>
              <w:spacing w:before="40" w:after="4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071" w:type="dxa"/>
            <w:shd w:val="clear" w:color="auto" w:fill="D3D3D3"/>
            <w:vAlign w:val="center"/>
          </w:tcPr>
          <w:p w14:paraId="6D114A0F">
            <w:pPr>
              <w:spacing w:before="40" w:after="40" w:line="240" w:lineRule="exact"/>
              <w:jc w:val="center"/>
              <w:rPr>
                <w:rFonts w:ascii="宋体" w:hAnsi="宋体" w:eastAsia="宋体" w:cs="宋体"/>
                <w:sz w:val="18"/>
                <w:szCs w:val="18"/>
              </w:rPr>
            </w:pPr>
            <w:r>
              <w:rPr>
                <w:rFonts w:ascii="宋体" w:hAnsi="宋体" w:eastAsia="宋体" w:cs="宋体"/>
                <w:sz w:val="18"/>
                <w:szCs w:val="18"/>
              </w:rPr>
              <w:t>数量</w:t>
            </w:r>
          </w:p>
        </w:tc>
      </w:tr>
      <w:tr w14:paraId="7474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6924D192">
            <w:pPr>
              <w:spacing w:before="0" w:after="0" w:line="240" w:lineRule="exact"/>
              <w:jc w:val="left"/>
              <w:rPr>
                <w:rFonts w:ascii="宋体" w:hAnsi="宋体" w:eastAsia="宋体" w:cs="宋体"/>
                <w:sz w:val="18"/>
                <w:szCs w:val="18"/>
              </w:rPr>
            </w:pPr>
            <w:r>
              <w:rPr>
                <w:rFonts w:ascii="宋体" w:hAnsi="宋体" w:eastAsia="宋体" w:cs="宋体"/>
                <w:sz w:val="18"/>
                <w:szCs w:val="18"/>
              </w:rPr>
              <w:t>青岛华通国有资本投资运营集团有限公司</w:t>
            </w:r>
          </w:p>
        </w:tc>
        <w:tc>
          <w:tcPr>
            <w:tcW w:w="1545" w:type="dxa"/>
            <w:gridSpan w:val="3"/>
            <w:vAlign w:val="center"/>
          </w:tcPr>
          <w:p w14:paraId="261862D8">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990" w:type="dxa"/>
            <w:gridSpan w:val="2"/>
            <w:vAlign w:val="center"/>
          </w:tcPr>
          <w:p w14:paraId="0A967493">
            <w:pPr>
              <w:spacing w:before="0" w:after="0" w:line="240" w:lineRule="exact"/>
              <w:jc w:val="right"/>
              <w:rPr>
                <w:rFonts w:ascii="宋体" w:hAnsi="宋体" w:eastAsia="宋体" w:cs="宋体"/>
                <w:sz w:val="18"/>
                <w:szCs w:val="18"/>
              </w:rPr>
            </w:pPr>
            <w:r>
              <w:rPr>
                <w:rFonts w:ascii="宋体" w:hAnsi="宋体" w:eastAsia="宋体" w:cs="宋体"/>
                <w:sz w:val="18"/>
                <w:szCs w:val="18"/>
              </w:rPr>
              <w:t>46.74%</w:t>
            </w:r>
          </w:p>
        </w:tc>
        <w:tc>
          <w:tcPr>
            <w:tcW w:w="1485" w:type="dxa"/>
            <w:vAlign w:val="center"/>
          </w:tcPr>
          <w:p w14:paraId="75E09110">
            <w:pPr>
              <w:spacing w:before="0" w:after="0" w:line="240" w:lineRule="exact"/>
              <w:jc w:val="right"/>
              <w:rPr>
                <w:rFonts w:ascii="宋体" w:hAnsi="宋体" w:eastAsia="宋体" w:cs="宋体"/>
                <w:sz w:val="18"/>
                <w:szCs w:val="18"/>
              </w:rPr>
            </w:pPr>
            <w:r>
              <w:rPr>
                <w:rFonts w:ascii="宋体" w:hAnsi="宋体" w:eastAsia="宋体" w:cs="宋体"/>
                <w:sz w:val="18"/>
                <w:szCs w:val="18"/>
              </w:rPr>
              <w:t>91,134,905.00</w:t>
            </w:r>
          </w:p>
        </w:tc>
        <w:tc>
          <w:tcPr>
            <w:tcW w:w="1513" w:type="dxa"/>
            <w:vAlign w:val="center"/>
          </w:tcPr>
          <w:p w14:paraId="37E7A25F">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gridSpan w:val="2"/>
            <w:vAlign w:val="center"/>
          </w:tcPr>
          <w:p w14:paraId="76D70C08">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7C56639A">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49C0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7666FEB7">
            <w:pPr>
              <w:spacing w:before="0" w:after="0" w:line="240" w:lineRule="exact"/>
              <w:jc w:val="left"/>
              <w:rPr>
                <w:rFonts w:ascii="宋体" w:hAnsi="宋体" w:eastAsia="宋体" w:cs="宋体"/>
                <w:sz w:val="18"/>
                <w:szCs w:val="18"/>
              </w:rPr>
            </w:pPr>
            <w:r>
              <w:rPr>
                <w:rFonts w:ascii="宋体" w:hAnsi="宋体" w:eastAsia="宋体" w:cs="宋体"/>
                <w:sz w:val="18"/>
                <w:szCs w:val="18"/>
              </w:rPr>
              <w:t>青岛食品股份有限公司未确权股份托管专用证券账户</w:t>
            </w:r>
          </w:p>
        </w:tc>
        <w:tc>
          <w:tcPr>
            <w:tcW w:w="1545" w:type="dxa"/>
            <w:gridSpan w:val="3"/>
            <w:vAlign w:val="center"/>
          </w:tcPr>
          <w:p w14:paraId="2C43BD98">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990" w:type="dxa"/>
            <w:gridSpan w:val="2"/>
            <w:vAlign w:val="center"/>
          </w:tcPr>
          <w:p w14:paraId="63018A91">
            <w:pPr>
              <w:spacing w:before="0" w:after="0" w:line="240" w:lineRule="exact"/>
              <w:jc w:val="right"/>
              <w:rPr>
                <w:rFonts w:ascii="宋体" w:hAnsi="宋体" w:eastAsia="宋体" w:cs="宋体"/>
                <w:sz w:val="18"/>
                <w:szCs w:val="18"/>
              </w:rPr>
            </w:pPr>
            <w:r>
              <w:rPr>
                <w:rFonts w:ascii="宋体" w:hAnsi="宋体" w:eastAsia="宋体" w:cs="宋体"/>
                <w:sz w:val="18"/>
                <w:szCs w:val="18"/>
              </w:rPr>
              <w:t>2.54%</w:t>
            </w:r>
          </w:p>
        </w:tc>
        <w:tc>
          <w:tcPr>
            <w:tcW w:w="1485" w:type="dxa"/>
            <w:vAlign w:val="center"/>
          </w:tcPr>
          <w:p w14:paraId="3CEEF0D2">
            <w:pPr>
              <w:spacing w:before="0" w:after="0" w:line="240" w:lineRule="exact"/>
              <w:jc w:val="right"/>
              <w:rPr>
                <w:rFonts w:ascii="宋体" w:hAnsi="宋体" w:eastAsia="宋体" w:cs="宋体"/>
                <w:sz w:val="18"/>
                <w:szCs w:val="18"/>
              </w:rPr>
            </w:pPr>
            <w:r>
              <w:rPr>
                <w:rFonts w:ascii="宋体" w:hAnsi="宋体" w:eastAsia="宋体" w:cs="宋体"/>
                <w:sz w:val="18"/>
                <w:szCs w:val="18"/>
              </w:rPr>
              <w:t>4,959,667.00</w:t>
            </w:r>
          </w:p>
        </w:tc>
        <w:tc>
          <w:tcPr>
            <w:tcW w:w="1513" w:type="dxa"/>
            <w:vAlign w:val="center"/>
          </w:tcPr>
          <w:p w14:paraId="7E70CEBB">
            <w:pPr>
              <w:spacing w:before="0" w:after="0" w:line="240" w:lineRule="exact"/>
              <w:jc w:val="right"/>
              <w:rPr>
                <w:rFonts w:ascii="宋体" w:hAnsi="宋体" w:eastAsia="宋体" w:cs="宋体"/>
                <w:sz w:val="18"/>
                <w:szCs w:val="18"/>
              </w:rPr>
            </w:pPr>
            <w:r>
              <w:rPr>
                <w:rFonts w:ascii="宋体" w:hAnsi="宋体" w:eastAsia="宋体" w:cs="宋体"/>
                <w:sz w:val="18"/>
                <w:szCs w:val="18"/>
              </w:rPr>
              <w:t>4,959,667.00</w:t>
            </w:r>
          </w:p>
        </w:tc>
        <w:tc>
          <w:tcPr>
            <w:tcW w:w="1071" w:type="dxa"/>
            <w:gridSpan w:val="2"/>
            <w:vAlign w:val="center"/>
          </w:tcPr>
          <w:p w14:paraId="516A06E4">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1D3A798E">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2FD4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00A80C4E">
            <w:pPr>
              <w:spacing w:before="0" w:after="0" w:line="240" w:lineRule="exact"/>
              <w:jc w:val="left"/>
              <w:rPr>
                <w:rFonts w:ascii="宋体" w:hAnsi="宋体" w:eastAsia="宋体" w:cs="宋体"/>
                <w:sz w:val="18"/>
                <w:szCs w:val="18"/>
              </w:rPr>
            </w:pPr>
            <w:r>
              <w:rPr>
                <w:rFonts w:ascii="宋体" w:hAnsi="宋体" w:eastAsia="宋体" w:cs="宋体"/>
                <w:sz w:val="18"/>
                <w:szCs w:val="18"/>
              </w:rPr>
              <w:t>深圳市核子基因科技有限公司</w:t>
            </w:r>
          </w:p>
        </w:tc>
        <w:tc>
          <w:tcPr>
            <w:tcW w:w="1545" w:type="dxa"/>
            <w:gridSpan w:val="3"/>
            <w:vAlign w:val="center"/>
          </w:tcPr>
          <w:p w14:paraId="17A6498F">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990" w:type="dxa"/>
            <w:gridSpan w:val="2"/>
            <w:vAlign w:val="center"/>
          </w:tcPr>
          <w:p w14:paraId="2A2DFCFD">
            <w:pPr>
              <w:spacing w:before="0" w:after="0" w:line="240" w:lineRule="exact"/>
              <w:jc w:val="right"/>
              <w:rPr>
                <w:rFonts w:ascii="宋体" w:hAnsi="宋体" w:eastAsia="宋体" w:cs="宋体"/>
                <w:sz w:val="18"/>
                <w:szCs w:val="18"/>
              </w:rPr>
            </w:pPr>
            <w:r>
              <w:rPr>
                <w:rFonts w:ascii="宋体" w:hAnsi="宋体" w:eastAsia="宋体" w:cs="宋体"/>
                <w:sz w:val="18"/>
                <w:szCs w:val="18"/>
              </w:rPr>
              <w:t>1.41%</w:t>
            </w:r>
          </w:p>
        </w:tc>
        <w:tc>
          <w:tcPr>
            <w:tcW w:w="1485" w:type="dxa"/>
            <w:vAlign w:val="center"/>
          </w:tcPr>
          <w:p w14:paraId="526CD7AC">
            <w:pPr>
              <w:spacing w:before="0" w:after="0" w:line="240" w:lineRule="exact"/>
              <w:jc w:val="right"/>
              <w:rPr>
                <w:rFonts w:ascii="宋体" w:hAnsi="宋体" w:eastAsia="宋体" w:cs="宋体"/>
                <w:sz w:val="18"/>
                <w:szCs w:val="18"/>
              </w:rPr>
            </w:pPr>
            <w:r>
              <w:rPr>
                <w:rFonts w:ascii="宋体" w:hAnsi="宋体" w:eastAsia="宋体" w:cs="宋体"/>
                <w:sz w:val="18"/>
                <w:szCs w:val="18"/>
              </w:rPr>
              <w:t>2,749,856.00</w:t>
            </w:r>
          </w:p>
        </w:tc>
        <w:tc>
          <w:tcPr>
            <w:tcW w:w="1513" w:type="dxa"/>
            <w:vAlign w:val="center"/>
          </w:tcPr>
          <w:p w14:paraId="47ACE521">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gridSpan w:val="2"/>
            <w:vAlign w:val="center"/>
          </w:tcPr>
          <w:p w14:paraId="4AFCECF5">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2E108C78">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4797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56F80663">
            <w:pPr>
              <w:spacing w:before="0" w:after="0" w:line="240" w:lineRule="exact"/>
              <w:jc w:val="left"/>
              <w:rPr>
                <w:rFonts w:ascii="宋体" w:hAnsi="宋体" w:eastAsia="宋体" w:cs="宋体"/>
                <w:sz w:val="18"/>
                <w:szCs w:val="18"/>
              </w:rPr>
            </w:pPr>
            <w:r>
              <w:rPr>
                <w:rFonts w:ascii="宋体" w:hAnsi="宋体" w:eastAsia="宋体" w:cs="宋体"/>
                <w:sz w:val="18"/>
                <w:szCs w:val="18"/>
              </w:rPr>
              <w:t>张莉</w:t>
            </w:r>
          </w:p>
        </w:tc>
        <w:tc>
          <w:tcPr>
            <w:tcW w:w="1545" w:type="dxa"/>
            <w:gridSpan w:val="3"/>
            <w:vAlign w:val="center"/>
          </w:tcPr>
          <w:p w14:paraId="5A4222D4">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990" w:type="dxa"/>
            <w:gridSpan w:val="2"/>
            <w:vAlign w:val="center"/>
          </w:tcPr>
          <w:p w14:paraId="59399DCA">
            <w:pPr>
              <w:spacing w:before="0" w:after="0" w:line="240" w:lineRule="exact"/>
              <w:jc w:val="right"/>
              <w:rPr>
                <w:rFonts w:ascii="宋体" w:hAnsi="宋体" w:eastAsia="宋体" w:cs="宋体"/>
                <w:sz w:val="18"/>
                <w:szCs w:val="18"/>
              </w:rPr>
            </w:pPr>
            <w:r>
              <w:rPr>
                <w:rFonts w:ascii="宋体" w:hAnsi="宋体" w:eastAsia="宋体" w:cs="宋体"/>
                <w:sz w:val="18"/>
                <w:szCs w:val="18"/>
              </w:rPr>
              <w:t>0.94%</w:t>
            </w:r>
          </w:p>
        </w:tc>
        <w:tc>
          <w:tcPr>
            <w:tcW w:w="1485" w:type="dxa"/>
            <w:vAlign w:val="center"/>
          </w:tcPr>
          <w:p w14:paraId="67967AC5">
            <w:pPr>
              <w:spacing w:before="0" w:after="0" w:line="240" w:lineRule="exact"/>
              <w:jc w:val="right"/>
              <w:rPr>
                <w:rFonts w:ascii="宋体" w:hAnsi="宋体" w:eastAsia="宋体" w:cs="宋体"/>
                <w:sz w:val="18"/>
                <w:szCs w:val="18"/>
              </w:rPr>
            </w:pPr>
            <w:r>
              <w:rPr>
                <w:rFonts w:ascii="宋体" w:hAnsi="宋体" w:eastAsia="宋体" w:cs="宋体"/>
                <w:sz w:val="18"/>
                <w:szCs w:val="18"/>
              </w:rPr>
              <w:t>1,836,141.00</w:t>
            </w:r>
          </w:p>
        </w:tc>
        <w:tc>
          <w:tcPr>
            <w:tcW w:w="1513" w:type="dxa"/>
            <w:vAlign w:val="center"/>
          </w:tcPr>
          <w:p w14:paraId="673E4B5B">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gridSpan w:val="2"/>
            <w:vAlign w:val="center"/>
          </w:tcPr>
          <w:p w14:paraId="7DD98F10">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4BB03B52">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5B9F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61F069D8">
            <w:pPr>
              <w:spacing w:before="0" w:after="0" w:line="240" w:lineRule="exact"/>
              <w:jc w:val="left"/>
              <w:rPr>
                <w:rFonts w:ascii="宋体" w:hAnsi="宋体" w:eastAsia="宋体" w:cs="宋体"/>
                <w:sz w:val="18"/>
                <w:szCs w:val="18"/>
              </w:rPr>
            </w:pPr>
            <w:r>
              <w:rPr>
                <w:rFonts w:ascii="宋体" w:hAnsi="宋体" w:eastAsia="宋体" w:cs="宋体"/>
                <w:sz w:val="18"/>
                <w:szCs w:val="18"/>
              </w:rPr>
              <w:t>中国工商银行股份有限公司－中信保诚多策略灵活配置混合型证券投资基金（LOF）</w:t>
            </w:r>
          </w:p>
        </w:tc>
        <w:tc>
          <w:tcPr>
            <w:tcW w:w="1545" w:type="dxa"/>
            <w:gridSpan w:val="3"/>
            <w:vAlign w:val="center"/>
          </w:tcPr>
          <w:p w14:paraId="2D23B672">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990" w:type="dxa"/>
            <w:gridSpan w:val="2"/>
            <w:vAlign w:val="center"/>
          </w:tcPr>
          <w:p w14:paraId="7D089C52">
            <w:pPr>
              <w:spacing w:before="0" w:after="0" w:line="240" w:lineRule="exact"/>
              <w:jc w:val="right"/>
              <w:rPr>
                <w:rFonts w:ascii="宋体" w:hAnsi="宋体" w:eastAsia="宋体" w:cs="宋体"/>
                <w:sz w:val="18"/>
                <w:szCs w:val="18"/>
              </w:rPr>
            </w:pPr>
            <w:r>
              <w:rPr>
                <w:rFonts w:ascii="宋体" w:hAnsi="宋体" w:eastAsia="宋体" w:cs="宋体"/>
                <w:sz w:val="18"/>
                <w:szCs w:val="18"/>
              </w:rPr>
              <w:t>0.94%</w:t>
            </w:r>
          </w:p>
        </w:tc>
        <w:tc>
          <w:tcPr>
            <w:tcW w:w="1485" w:type="dxa"/>
            <w:vAlign w:val="center"/>
          </w:tcPr>
          <w:p w14:paraId="08752F5E">
            <w:pPr>
              <w:spacing w:before="0" w:after="0" w:line="240" w:lineRule="exact"/>
              <w:jc w:val="right"/>
              <w:rPr>
                <w:rFonts w:ascii="宋体" w:hAnsi="宋体" w:eastAsia="宋体" w:cs="宋体"/>
                <w:sz w:val="18"/>
                <w:szCs w:val="18"/>
              </w:rPr>
            </w:pPr>
            <w:r>
              <w:rPr>
                <w:rFonts w:ascii="宋体" w:hAnsi="宋体" w:eastAsia="宋体" w:cs="宋体"/>
                <w:sz w:val="18"/>
                <w:szCs w:val="18"/>
              </w:rPr>
              <w:t>1,824,369.00</w:t>
            </w:r>
          </w:p>
        </w:tc>
        <w:tc>
          <w:tcPr>
            <w:tcW w:w="1513" w:type="dxa"/>
            <w:vAlign w:val="center"/>
          </w:tcPr>
          <w:p w14:paraId="51947C2A">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gridSpan w:val="2"/>
            <w:vAlign w:val="center"/>
          </w:tcPr>
          <w:p w14:paraId="3BE455E9">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4BF7CAFE">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7F28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1F8EB5E3">
            <w:pPr>
              <w:spacing w:before="0" w:after="0" w:line="240" w:lineRule="exact"/>
              <w:jc w:val="left"/>
              <w:rPr>
                <w:rFonts w:ascii="宋体" w:hAnsi="宋体" w:eastAsia="宋体" w:cs="宋体"/>
                <w:sz w:val="18"/>
                <w:szCs w:val="18"/>
              </w:rPr>
            </w:pPr>
            <w:r>
              <w:rPr>
                <w:rFonts w:ascii="宋体" w:hAnsi="宋体" w:eastAsia="宋体" w:cs="宋体"/>
                <w:sz w:val="18"/>
                <w:szCs w:val="18"/>
              </w:rPr>
              <w:t>王莉</w:t>
            </w:r>
          </w:p>
        </w:tc>
        <w:tc>
          <w:tcPr>
            <w:tcW w:w="1545" w:type="dxa"/>
            <w:gridSpan w:val="3"/>
            <w:vAlign w:val="center"/>
          </w:tcPr>
          <w:p w14:paraId="6A5C6D5B">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990" w:type="dxa"/>
            <w:gridSpan w:val="2"/>
            <w:vAlign w:val="center"/>
          </w:tcPr>
          <w:p w14:paraId="6A2E80EC">
            <w:pPr>
              <w:spacing w:before="0" w:after="0" w:line="240" w:lineRule="exact"/>
              <w:jc w:val="right"/>
              <w:rPr>
                <w:rFonts w:ascii="宋体" w:hAnsi="宋体" w:eastAsia="宋体" w:cs="宋体"/>
                <w:sz w:val="18"/>
                <w:szCs w:val="18"/>
              </w:rPr>
            </w:pPr>
            <w:r>
              <w:rPr>
                <w:rFonts w:ascii="宋体" w:hAnsi="宋体" w:eastAsia="宋体" w:cs="宋体"/>
                <w:sz w:val="18"/>
                <w:szCs w:val="18"/>
              </w:rPr>
              <w:t>0.89%</w:t>
            </w:r>
          </w:p>
        </w:tc>
        <w:tc>
          <w:tcPr>
            <w:tcW w:w="1485" w:type="dxa"/>
            <w:vAlign w:val="center"/>
          </w:tcPr>
          <w:p w14:paraId="26B67E5A">
            <w:pPr>
              <w:spacing w:before="0" w:after="0" w:line="240" w:lineRule="exact"/>
              <w:jc w:val="right"/>
              <w:rPr>
                <w:rFonts w:ascii="宋体" w:hAnsi="宋体" w:eastAsia="宋体" w:cs="宋体"/>
                <w:sz w:val="18"/>
                <w:szCs w:val="18"/>
              </w:rPr>
            </w:pPr>
            <w:r>
              <w:rPr>
                <w:rFonts w:ascii="宋体" w:hAnsi="宋体" w:eastAsia="宋体" w:cs="宋体"/>
                <w:sz w:val="18"/>
                <w:szCs w:val="18"/>
              </w:rPr>
              <w:t>1,727,672.00</w:t>
            </w:r>
          </w:p>
        </w:tc>
        <w:tc>
          <w:tcPr>
            <w:tcW w:w="1513" w:type="dxa"/>
            <w:vAlign w:val="center"/>
          </w:tcPr>
          <w:p w14:paraId="74BA2941">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gridSpan w:val="2"/>
            <w:vAlign w:val="center"/>
          </w:tcPr>
          <w:p w14:paraId="0E331475">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0A487576">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7506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1D4F6F09">
            <w:pPr>
              <w:spacing w:before="0" w:after="0" w:line="240" w:lineRule="exact"/>
              <w:jc w:val="left"/>
              <w:rPr>
                <w:rFonts w:ascii="宋体" w:hAnsi="宋体" w:eastAsia="宋体" w:cs="宋体"/>
                <w:sz w:val="18"/>
                <w:szCs w:val="18"/>
              </w:rPr>
            </w:pPr>
            <w:r>
              <w:rPr>
                <w:rFonts w:ascii="宋体" w:hAnsi="宋体" w:eastAsia="宋体" w:cs="宋体"/>
                <w:sz w:val="18"/>
                <w:szCs w:val="18"/>
              </w:rPr>
              <w:t>刘英</w:t>
            </w:r>
          </w:p>
        </w:tc>
        <w:tc>
          <w:tcPr>
            <w:tcW w:w="1545" w:type="dxa"/>
            <w:gridSpan w:val="3"/>
            <w:vAlign w:val="center"/>
          </w:tcPr>
          <w:p w14:paraId="513607CC">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990" w:type="dxa"/>
            <w:gridSpan w:val="2"/>
            <w:vAlign w:val="center"/>
          </w:tcPr>
          <w:p w14:paraId="59ECDBF6">
            <w:pPr>
              <w:spacing w:before="0" w:after="0" w:line="240" w:lineRule="exact"/>
              <w:jc w:val="right"/>
              <w:rPr>
                <w:rFonts w:ascii="宋体" w:hAnsi="宋体" w:eastAsia="宋体" w:cs="宋体"/>
                <w:sz w:val="18"/>
                <w:szCs w:val="18"/>
              </w:rPr>
            </w:pPr>
            <w:r>
              <w:rPr>
                <w:rFonts w:ascii="宋体" w:hAnsi="宋体" w:eastAsia="宋体" w:cs="宋体"/>
                <w:sz w:val="18"/>
                <w:szCs w:val="18"/>
              </w:rPr>
              <w:t>0.66%</w:t>
            </w:r>
          </w:p>
        </w:tc>
        <w:tc>
          <w:tcPr>
            <w:tcW w:w="1485" w:type="dxa"/>
            <w:vAlign w:val="center"/>
          </w:tcPr>
          <w:p w14:paraId="7A769F17">
            <w:pPr>
              <w:spacing w:before="0" w:after="0" w:line="240" w:lineRule="exact"/>
              <w:jc w:val="right"/>
              <w:rPr>
                <w:rFonts w:ascii="宋体" w:hAnsi="宋体" w:eastAsia="宋体" w:cs="宋体"/>
                <w:sz w:val="18"/>
                <w:szCs w:val="18"/>
              </w:rPr>
            </w:pPr>
            <w:r>
              <w:rPr>
                <w:rFonts w:ascii="宋体" w:hAnsi="宋体" w:eastAsia="宋体" w:cs="宋体"/>
                <w:sz w:val="18"/>
                <w:szCs w:val="18"/>
              </w:rPr>
              <w:t>1,280,000.00</w:t>
            </w:r>
          </w:p>
        </w:tc>
        <w:tc>
          <w:tcPr>
            <w:tcW w:w="1513" w:type="dxa"/>
            <w:vAlign w:val="center"/>
          </w:tcPr>
          <w:p w14:paraId="2F5CC5E9">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gridSpan w:val="2"/>
            <w:vAlign w:val="center"/>
          </w:tcPr>
          <w:p w14:paraId="2055469E">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61D9E2EE">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11A5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487F45B8">
            <w:pPr>
              <w:spacing w:before="0" w:after="0" w:line="240" w:lineRule="exact"/>
              <w:jc w:val="left"/>
              <w:rPr>
                <w:rFonts w:ascii="宋体" w:hAnsi="宋体" w:eastAsia="宋体" w:cs="宋体"/>
                <w:sz w:val="18"/>
                <w:szCs w:val="18"/>
              </w:rPr>
            </w:pPr>
            <w:r>
              <w:rPr>
                <w:rFonts w:ascii="宋体" w:hAnsi="宋体" w:eastAsia="宋体" w:cs="宋体"/>
                <w:sz w:val="18"/>
                <w:szCs w:val="18"/>
              </w:rPr>
              <w:t>吴玮</w:t>
            </w:r>
          </w:p>
        </w:tc>
        <w:tc>
          <w:tcPr>
            <w:tcW w:w="1545" w:type="dxa"/>
            <w:gridSpan w:val="3"/>
            <w:vAlign w:val="center"/>
          </w:tcPr>
          <w:p w14:paraId="592C7370">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990" w:type="dxa"/>
            <w:gridSpan w:val="2"/>
            <w:vAlign w:val="center"/>
          </w:tcPr>
          <w:p w14:paraId="032213FF">
            <w:pPr>
              <w:spacing w:before="0" w:after="0" w:line="240" w:lineRule="exact"/>
              <w:jc w:val="right"/>
              <w:rPr>
                <w:rFonts w:ascii="宋体" w:hAnsi="宋体" w:eastAsia="宋体" w:cs="宋体"/>
                <w:sz w:val="18"/>
                <w:szCs w:val="18"/>
              </w:rPr>
            </w:pPr>
            <w:r>
              <w:rPr>
                <w:rFonts w:ascii="宋体" w:hAnsi="宋体" w:eastAsia="宋体" w:cs="宋体"/>
                <w:sz w:val="18"/>
                <w:szCs w:val="18"/>
              </w:rPr>
              <w:t>0.64%</w:t>
            </w:r>
          </w:p>
        </w:tc>
        <w:tc>
          <w:tcPr>
            <w:tcW w:w="1485" w:type="dxa"/>
            <w:vAlign w:val="center"/>
          </w:tcPr>
          <w:p w14:paraId="07A9FA8B">
            <w:pPr>
              <w:spacing w:before="0" w:after="0" w:line="240" w:lineRule="exact"/>
              <w:jc w:val="right"/>
              <w:rPr>
                <w:rFonts w:ascii="宋体" w:hAnsi="宋体" w:eastAsia="宋体" w:cs="宋体"/>
                <w:sz w:val="18"/>
                <w:szCs w:val="18"/>
              </w:rPr>
            </w:pPr>
            <w:r>
              <w:rPr>
                <w:rFonts w:ascii="宋体" w:hAnsi="宋体" w:eastAsia="宋体" w:cs="宋体"/>
                <w:sz w:val="18"/>
                <w:szCs w:val="18"/>
              </w:rPr>
              <w:t>1,246,200.00</w:t>
            </w:r>
          </w:p>
        </w:tc>
        <w:tc>
          <w:tcPr>
            <w:tcW w:w="1513" w:type="dxa"/>
            <w:vAlign w:val="center"/>
          </w:tcPr>
          <w:p w14:paraId="382136D4">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gridSpan w:val="2"/>
            <w:vAlign w:val="center"/>
          </w:tcPr>
          <w:p w14:paraId="6485ABB9">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5A4AA7F2">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135C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054B77A8">
            <w:pPr>
              <w:spacing w:before="0" w:after="0" w:line="240" w:lineRule="exact"/>
              <w:jc w:val="left"/>
              <w:rPr>
                <w:rFonts w:ascii="宋体" w:hAnsi="宋体" w:eastAsia="宋体" w:cs="宋体"/>
                <w:sz w:val="18"/>
                <w:szCs w:val="18"/>
              </w:rPr>
            </w:pPr>
            <w:r>
              <w:rPr>
                <w:rFonts w:ascii="宋体" w:hAnsi="宋体" w:eastAsia="宋体" w:cs="宋体"/>
                <w:sz w:val="18"/>
                <w:szCs w:val="18"/>
              </w:rPr>
              <w:t>刘竹轩</w:t>
            </w:r>
          </w:p>
        </w:tc>
        <w:tc>
          <w:tcPr>
            <w:tcW w:w="1545" w:type="dxa"/>
            <w:gridSpan w:val="3"/>
            <w:vAlign w:val="center"/>
          </w:tcPr>
          <w:p w14:paraId="0EAD962F">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990" w:type="dxa"/>
            <w:gridSpan w:val="2"/>
            <w:vAlign w:val="center"/>
          </w:tcPr>
          <w:p w14:paraId="49AA1808">
            <w:pPr>
              <w:spacing w:before="0" w:after="0" w:line="240" w:lineRule="exact"/>
              <w:jc w:val="right"/>
              <w:rPr>
                <w:rFonts w:ascii="宋体" w:hAnsi="宋体" w:eastAsia="宋体" w:cs="宋体"/>
                <w:sz w:val="18"/>
                <w:szCs w:val="18"/>
              </w:rPr>
            </w:pPr>
            <w:r>
              <w:rPr>
                <w:rFonts w:ascii="宋体" w:hAnsi="宋体" w:eastAsia="宋体" w:cs="宋体"/>
                <w:sz w:val="18"/>
                <w:szCs w:val="18"/>
              </w:rPr>
              <w:t>0.48%</w:t>
            </w:r>
          </w:p>
        </w:tc>
        <w:tc>
          <w:tcPr>
            <w:tcW w:w="1485" w:type="dxa"/>
            <w:vAlign w:val="center"/>
          </w:tcPr>
          <w:p w14:paraId="1ECEDD19">
            <w:pPr>
              <w:spacing w:before="0" w:after="0" w:line="240" w:lineRule="exact"/>
              <w:jc w:val="right"/>
              <w:rPr>
                <w:rFonts w:ascii="宋体" w:hAnsi="宋体" w:eastAsia="宋体" w:cs="宋体"/>
                <w:sz w:val="18"/>
                <w:szCs w:val="18"/>
              </w:rPr>
            </w:pPr>
            <w:r>
              <w:rPr>
                <w:rFonts w:ascii="宋体" w:hAnsi="宋体" w:eastAsia="宋体" w:cs="宋体"/>
                <w:sz w:val="18"/>
                <w:szCs w:val="18"/>
              </w:rPr>
              <w:t>930,000.00</w:t>
            </w:r>
          </w:p>
        </w:tc>
        <w:tc>
          <w:tcPr>
            <w:tcW w:w="1513" w:type="dxa"/>
            <w:vAlign w:val="center"/>
          </w:tcPr>
          <w:p w14:paraId="4DCFAA34">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gridSpan w:val="2"/>
            <w:vAlign w:val="center"/>
          </w:tcPr>
          <w:p w14:paraId="0F036AA0">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70E1C626">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0C1D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64" w:type="dxa"/>
            <w:vAlign w:val="center"/>
          </w:tcPr>
          <w:p w14:paraId="7AAE7B81">
            <w:pPr>
              <w:spacing w:before="0" w:after="0" w:line="240" w:lineRule="exact"/>
              <w:jc w:val="left"/>
              <w:rPr>
                <w:rFonts w:ascii="宋体" w:hAnsi="宋体" w:eastAsia="宋体" w:cs="宋体"/>
                <w:sz w:val="18"/>
                <w:szCs w:val="18"/>
              </w:rPr>
            </w:pPr>
            <w:r>
              <w:rPr>
                <w:rFonts w:ascii="宋体" w:hAnsi="宋体" w:eastAsia="宋体" w:cs="宋体"/>
                <w:sz w:val="18"/>
                <w:szCs w:val="18"/>
              </w:rPr>
              <w:t>孙奥</w:t>
            </w:r>
          </w:p>
        </w:tc>
        <w:tc>
          <w:tcPr>
            <w:tcW w:w="1545" w:type="dxa"/>
            <w:gridSpan w:val="3"/>
            <w:vAlign w:val="center"/>
          </w:tcPr>
          <w:p w14:paraId="083DF2CC">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990" w:type="dxa"/>
            <w:gridSpan w:val="2"/>
            <w:vAlign w:val="center"/>
          </w:tcPr>
          <w:p w14:paraId="69AB8951">
            <w:pPr>
              <w:spacing w:before="0" w:after="0" w:line="240" w:lineRule="exact"/>
              <w:jc w:val="right"/>
              <w:rPr>
                <w:rFonts w:ascii="宋体" w:hAnsi="宋体" w:eastAsia="宋体" w:cs="宋体"/>
                <w:sz w:val="18"/>
                <w:szCs w:val="18"/>
              </w:rPr>
            </w:pPr>
            <w:r>
              <w:rPr>
                <w:rFonts w:ascii="宋体" w:hAnsi="宋体" w:eastAsia="宋体" w:cs="宋体"/>
                <w:sz w:val="18"/>
                <w:szCs w:val="18"/>
              </w:rPr>
              <w:t>0.41%</w:t>
            </w:r>
          </w:p>
        </w:tc>
        <w:tc>
          <w:tcPr>
            <w:tcW w:w="1485" w:type="dxa"/>
            <w:vAlign w:val="center"/>
          </w:tcPr>
          <w:p w14:paraId="22109BB5">
            <w:pPr>
              <w:spacing w:before="0" w:after="0" w:line="240" w:lineRule="exact"/>
              <w:jc w:val="right"/>
              <w:rPr>
                <w:rFonts w:ascii="宋体" w:hAnsi="宋体" w:eastAsia="宋体" w:cs="宋体"/>
                <w:sz w:val="18"/>
                <w:szCs w:val="18"/>
              </w:rPr>
            </w:pPr>
            <w:r>
              <w:rPr>
                <w:rFonts w:ascii="宋体" w:hAnsi="宋体" w:eastAsia="宋体" w:cs="宋体"/>
                <w:sz w:val="18"/>
                <w:szCs w:val="18"/>
              </w:rPr>
              <w:t>791,170.00</w:t>
            </w:r>
          </w:p>
        </w:tc>
        <w:tc>
          <w:tcPr>
            <w:tcW w:w="1513" w:type="dxa"/>
            <w:vAlign w:val="center"/>
          </w:tcPr>
          <w:p w14:paraId="095C16FC">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c>
          <w:tcPr>
            <w:tcW w:w="1071" w:type="dxa"/>
            <w:gridSpan w:val="2"/>
            <w:vAlign w:val="center"/>
          </w:tcPr>
          <w:p w14:paraId="2D7D44CD">
            <w:pPr>
              <w:spacing w:before="0" w:after="0" w:line="240" w:lineRule="exact"/>
              <w:jc w:val="left"/>
              <w:rPr>
                <w:rFonts w:ascii="宋体" w:hAnsi="宋体" w:eastAsia="宋体" w:cs="宋体"/>
                <w:sz w:val="18"/>
                <w:szCs w:val="18"/>
              </w:rPr>
            </w:pPr>
            <w:r>
              <w:rPr>
                <w:rFonts w:ascii="宋体" w:hAnsi="宋体" w:eastAsia="宋体" w:cs="宋体"/>
                <w:sz w:val="18"/>
                <w:szCs w:val="18"/>
              </w:rPr>
              <w:t>不适用</w:t>
            </w:r>
          </w:p>
        </w:tc>
        <w:tc>
          <w:tcPr>
            <w:tcW w:w="1071" w:type="dxa"/>
            <w:vAlign w:val="center"/>
          </w:tcPr>
          <w:p w14:paraId="4CE13CA1">
            <w:pPr>
              <w:spacing w:before="0" w:after="0" w:line="240" w:lineRule="exact"/>
              <w:jc w:val="right"/>
              <w:rPr>
                <w:rFonts w:ascii="宋体" w:hAnsi="宋体" w:eastAsia="宋体" w:cs="宋体"/>
                <w:sz w:val="18"/>
                <w:szCs w:val="18"/>
              </w:rPr>
            </w:pPr>
            <w:r>
              <w:rPr>
                <w:rFonts w:ascii="宋体" w:hAnsi="宋体" w:eastAsia="宋体" w:cs="宋体"/>
                <w:sz w:val="18"/>
                <w:szCs w:val="18"/>
              </w:rPr>
              <w:t>0.00</w:t>
            </w:r>
          </w:p>
        </w:tc>
      </w:tr>
      <w:tr w14:paraId="2B2D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4" w:type="dxa"/>
            <w:gridSpan w:val="3"/>
            <w:shd w:val="clear" w:color="auto" w:fill="D3D3D3"/>
            <w:vAlign w:val="center"/>
          </w:tcPr>
          <w:p w14:paraId="4689BF57">
            <w:pPr>
              <w:spacing w:before="40" w:after="4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6805" w:type="dxa"/>
            <w:gridSpan w:val="8"/>
            <w:vAlign w:val="center"/>
          </w:tcPr>
          <w:p w14:paraId="779BE820">
            <w:pPr>
              <w:spacing w:before="0" w:after="0" w:line="240" w:lineRule="exact"/>
              <w:jc w:val="left"/>
              <w:rPr>
                <w:rFonts w:ascii="宋体" w:hAnsi="宋体" w:eastAsia="宋体" w:cs="宋体"/>
                <w:sz w:val="18"/>
                <w:szCs w:val="18"/>
              </w:rPr>
            </w:pPr>
            <w:r>
              <w:rPr>
                <w:rFonts w:ascii="宋体" w:hAnsi="宋体" w:eastAsia="宋体" w:cs="宋体"/>
                <w:sz w:val="18"/>
                <w:szCs w:val="18"/>
              </w:rPr>
              <w:t>华通集团系公司控股股东、实际控制人，持有公司46.74%的股份。除此之外，公司未知上述其他股东之间是否存在关联关系，是否属于一致行动人。</w:t>
            </w:r>
          </w:p>
        </w:tc>
      </w:tr>
      <w:tr w14:paraId="1F0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34" w:type="dxa"/>
            <w:gridSpan w:val="3"/>
            <w:shd w:val="clear" w:color="auto" w:fill="D3D3D3"/>
            <w:vAlign w:val="center"/>
          </w:tcPr>
          <w:p w14:paraId="6157048B">
            <w:pPr>
              <w:spacing w:before="40" w:after="40" w:line="240" w:lineRule="exact"/>
              <w:jc w:val="left"/>
              <w:rPr>
                <w:rFonts w:ascii="宋体" w:hAnsi="宋体" w:eastAsia="宋体" w:cs="宋体"/>
                <w:sz w:val="18"/>
                <w:szCs w:val="18"/>
              </w:rPr>
            </w:pPr>
            <w:r>
              <w:rPr>
                <w:rFonts w:ascii="宋体" w:hAnsi="宋体" w:eastAsia="宋体" w:cs="宋体"/>
                <w:sz w:val="18"/>
                <w:szCs w:val="18"/>
              </w:rPr>
              <w:t>参与融资融券业务股东情况说明</w:t>
            </w:r>
          </w:p>
        </w:tc>
        <w:tc>
          <w:tcPr>
            <w:tcW w:w="6805" w:type="dxa"/>
            <w:gridSpan w:val="8"/>
            <w:vAlign w:val="center"/>
          </w:tcPr>
          <w:p w14:paraId="47240795">
            <w:pPr>
              <w:spacing w:before="0" w:after="0" w:line="240" w:lineRule="exact"/>
              <w:jc w:val="left"/>
              <w:rPr>
                <w:rFonts w:ascii="宋体" w:hAnsi="宋体" w:eastAsia="宋体" w:cs="宋体"/>
                <w:sz w:val="18"/>
                <w:szCs w:val="18"/>
              </w:rPr>
            </w:pPr>
            <w:r>
              <w:rPr>
                <w:rFonts w:ascii="宋体" w:hAnsi="宋体" w:eastAsia="宋体" w:cs="宋体"/>
                <w:sz w:val="18"/>
                <w:szCs w:val="18"/>
              </w:rPr>
              <w:t>刘英通过普通证券账户持有780,000股，通过信用交易担保证券账户持有500,000股；瞿惠玲通过普通证券账户持有57,300股，通过信用交易担保证券账户持有665,100股。</w:t>
            </w:r>
          </w:p>
        </w:tc>
      </w:tr>
    </w:tbl>
    <w:p w14:paraId="0C7B6524">
      <w:pPr>
        <w:spacing w:before="100" w:after="100" w:line="240" w:lineRule="exact"/>
        <w:jc w:val="left"/>
        <w:rPr>
          <w:rFonts w:ascii="宋体" w:hAnsi="宋体" w:eastAsia="宋体" w:cs="宋体"/>
          <w:sz w:val="21"/>
          <w:szCs w:val="21"/>
        </w:rPr>
      </w:pPr>
      <w:r>
        <w:rPr>
          <w:rFonts w:ascii="宋体" w:hAnsi="宋体" w:eastAsia="宋体" w:cs="宋体"/>
          <w:sz w:val="21"/>
          <w:szCs w:val="21"/>
        </w:rPr>
        <w:t>持股5%以上股东、前10名股东及前10名无限售流通股股东参与转融通业务出借股份情况</w:t>
      </w:r>
    </w:p>
    <w:p w14:paraId="5F881E2C">
      <w:pPr>
        <w:spacing w:before="0" w:after="0" w:line="240" w:lineRule="exact"/>
        <w:jc w:val="left"/>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14:paraId="1E948294">
      <w:pPr>
        <w:spacing w:before="100" w:after="100" w:line="240" w:lineRule="exact"/>
        <w:jc w:val="left"/>
        <w:rPr>
          <w:rFonts w:ascii="宋体" w:hAnsi="宋体" w:eastAsia="宋体" w:cs="宋体"/>
          <w:sz w:val="21"/>
          <w:szCs w:val="21"/>
        </w:rPr>
      </w:pPr>
      <w:r>
        <w:rPr>
          <w:rFonts w:ascii="宋体" w:hAnsi="宋体" w:eastAsia="宋体" w:cs="宋体"/>
          <w:sz w:val="21"/>
          <w:szCs w:val="21"/>
        </w:rPr>
        <w:t>前10名股东及前10名无限售流通股股东因转融通出借/归还原因导致较上期发生变化</w:t>
      </w:r>
    </w:p>
    <w:p w14:paraId="2950AA1A">
      <w:pPr>
        <w:spacing w:before="0" w:after="0" w:line="240" w:lineRule="exact"/>
        <w:jc w:val="left"/>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14:paraId="03096366">
      <w:pPr>
        <w:keepNext/>
        <w:keepLines/>
        <w:pageBreakBefore w:val="0"/>
        <w:widowControl w:val="0"/>
        <w:kinsoku/>
        <w:wordWrap/>
        <w:overflowPunct/>
        <w:topLinePunct w:val="0"/>
        <w:autoSpaceDE/>
        <w:autoSpaceDN/>
        <w:bidi w:val="0"/>
        <w:adjustRightInd/>
        <w:snapToGrid/>
        <w:spacing w:before="300" w:after="300" w:line="320" w:lineRule="exact"/>
        <w:jc w:val="left"/>
        <w:textAlignment w:val="auto"/>
        <w:outlineLvl w:val="2"/>
        <w:rPr>
          <w:rFonts w:ascii="宋体" w:hAnsi="宋体" w:eastAsia="宋体" w:cs="宋体"/>
          <w:b/>
          <w:bCs/>
          <w:sz w:val="21"/>
          <w:szCs w:val="21"/>
        </w:rPr>
      </w:pPr>
      <w:bookmarkStart w:id="5" w:name="_Toc988894"/>
      <w:r>
        <w:rPr>
          <w:rFonts w:ascii="宋体" w:hAnsi="宋体" w:eastAsia="宋体" w:cs="宋体"/>
          <w:b/>
          <w:bCs/>
          <w:sz w:val="21"/>
          <w:szCs w:val="21"/>
        </w:rPr>
        <w:t>4、控股股东或实际控制人变更情况</w:t>
      </w:r>
      <w:bookmarkEnd w:id="5"/>
    </w:p>
    <w:p w14:paraId="07CE323D">
      <w:pPr>
        <w:keepNext w:val="0"/>
        <w:keepLines w:val="0"/>
        <w:pageBreakBefore w:val="0"/>
        <w:widowControl w:val="0"/>
        <w:kinsoku/>
        <w:wordWrap/>
        <w:overflowPunct/>
        <w:topLinePunct w:val="0"/>
        <w:autoSpaceDE/>
        <w:autoSpaceDN/>
        <w:bidi w:val="0"/>
        <w:adjustRightInd/>
        <w:snapToGrid/>
        <w:spacing w:before="40" w:after="40" w:line="320" w:lineRule="exact"/>
        <w:jc w:val="left"/>
        <w:textAlignment w:val="auto"/>
        <w:rPr>
          <w:rFonts w:ascii="宋体" w:hAnsi="宋体" w:eastAsia="宋体" w:cs="宋体"/>
          <w:sz w:val="21"/>
          <w:szCs w:val="21"/>
        </w:rPr>
      </w:pPr>
      <w:r>
        <w:rPr>
          <w:rFonts w:ascii="宋体" w:hAnsi="宋体" w:eastAsia="宋体" w:cs="宋体"/>
          <w:sz w:val="21"/>
          <w:szCs w:val="21"/>
        </w:rPr>
        <w:t>控股股东报告期内变更</w:t>
      </w:r>
    </w:p>
    <w:p w14:paraId="4B5F035E">
      <w:pPr>
        <w:keepNext w:val="0"/>
        <w:keepLines w:val="0"/>
        <w:pageBreakBefore w:val="0"/>
        <w:widowControl w:val="0"/>
        <w:kinsoku/>
        <w:wordWrap/>
        <w:overflowPunct/>
        <w:topLinePunct w:val="0"/>
        <w:autoSpaceDE/>
        <w:autoSpaceDN/>
        <w:bidi w:val="0"/>
        <w:adjustRightInd/>
        <w:snapToGrid/>
        <w:spacing w:before="40" w:after="40" w:line="320" w:lineRule="exact"/>
        <w:jc w:val="left"/>
        <w:textAlignment w:val="auto"/>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14:paraId="145E135E">
      <w:pPr>
        <w:keepNext w:val="0"/>
        <w:keepLines w:val="0"/>
        <w:pageBreakBefore w:val="0"/>
        <w:widowControl w:val="0"/>
        <w:kinsoku/>
        <w:wordWrap/>
        <w:overflowPunct/>
        <w:topLinePunct w:val="0"/>
        <w:autoSpaceDE/>
        <w:autoSpaceDN/>
        <w:bidi w:val="0"/>
        <w:adjustRightInd/>
        <w:snapToGrid/>
        <w:spacing w:before="40" w:after="40" w:line="320" w:lineRule="exact"/>
        <w:jc w:val="left"/>
        <w:textAlignment w:val="auto"/>
        <w:rPr>
          <w:rFonts w:ascii="宋体" w:hAnsi="宋体" w:eastAsia="宋体" w:cs="宋体"/>
          <w:sz w:val="21"/>
          <w:szCs w:val="21"/>
        </w:rPr>
      </w:pPr>
      <w:r>
        <w:rPr>
          <w:rFonts w:ascii="宋体" w:hAnsi="宋体" w:eastAsia="宋体" w:cs="宋体"/>
          <w:sz w:val="21"/>
          <w:szCs w:val="21"/>
        </w:rPr>
        <w:t>公司报告期控股股东未发生变更。</w:t>
      </w:r>
    </w:p>
    <w:p w14:paraId="79309592">
      <w:pPr>
        <w:keepNext w:val="0"/>
        <w:keepLines w:val="0"/>
        <w:pageBreakBefore w:val="0"/>
        <w:widowControl w:val="0"/>
        <w:kinsoku/>
        <w:wordWrap/>
        <w:overflowPunct/>
        <w:topLinePunct w:val="0"/>
        <w:autoSpaceDE/>
        <w:autoSpaceDN/>
        <w:bidi w:val="0"/>
        <w:adjustRightInd/>
        <w:snapToGrid/>
        <w:spacing w:before="100" w:after="100" w:line="320" w:lineRule="exact"/>
        <w:jc w:val="left"/>
        <w:textAlignment w:val="auto"/>
        <w:rPr>
          <w:rFonts w:ascii="宋体" w:hAnsi="宋体" w:eastAsia="宋体" w:cs="宋体"/>
          <w:sz w:val="21"/>
          <w:szCs w:val="21"/>
        </w:rPr>
      </w:pPr>
      <w:r>
        <w:rPr>
          <w:rFonts w:ascii="宋体" w:hAnsi="宋体" w:eastAsia="宋体" w:cs="宋体"/>
          <w:sz w:val="21"/>
          <w:szCs w:val="21"/>
        </w:rPr>
        <w:t>实际控制人报告期内变更</w:t>
      </w:r>
    </w:p>
    <w:p w14:paraId="54B1B561">
      <w:pPr>
        <w:keepNext w:val="0"/>
        <w:keepLines w:val="0"/>
        <w:pageBreakBefore w:val="0"/>
        <w:widowControl w:val="0"/>
        <w:kinsoku/>
        <w:wordWrap/>
        <w:overflowPunct/>
        <w:topLinePunct w:val="0"/>
        <w:autoSpaceDE/>
        <w:autoSpaceDN/>
        <w:bidi w:val="0"/>
        <w:adjustRightInd/>
        <w:snapToGrid/>
        <w:spacing w:before="40" w:after="40" w:line="320" w:lineRule="exact"/>
        <w:jc w:val="left"/>
        <w:textAlignment w:val="auto"/>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14:paraId="55E8B1D8">
      <w:pPr>
        <w:keepNext w:val="0"/>
        <w:keepLines w:val="0"/>
        <w:pageBreakBefore w:val="0"/>
        <w:widowControl w:val="0"/>
        <w:kinsoku/>
        <w:wordWrap/>
        <w:overflowPunct/>
        <w:topLinePunct w:val="0"/>
        <w:autoSpaceDE/>
        <w:autoSpaceDN/>
        <w:bidi w:val="0"/>
        <w:adjustRightInd/>
        <w:snapToGrid/>
        <w:spacing w:before="40" w:after="40" w:line="320" w:lineRule="exact"/>
        <w:jc w:val="left"/>
        <w:textAlignment w:val="auto"/>
        <w:rPr>
          <w:rFonts w:ascii="宋体" w:hAnsi="宋体" w:eastAsia="宋体" w:cs="宋体"/>
          <w:sz w:val="21"/>
          <w:szCs w:val="21"/>
        </w:rPr>
      </w:pPr>
      <w:r>
        <w:rPr>
          <w:rFonts w:ascii="宋体" w:hAnsi="宋体" w:eastAsia="宋体" w:cs="宋体"/>
          <w:sz w:val="21"/>
          <w:szCs w:val="21"/>
        </w:rPr>
        <w:t>公司报告期实际控制人未发生变更。</w:t>
      </w:r>
    </w:p>
    <w:p w14:paraId="7B3FF300">
      <w:pPr>
        <w:keepNext/>
        <w:keepLines/>
        <w:pageBreakBefore w:val="0"/>
        <w:widowControl w:val="0"/>
        <w:kinsoku/>
        <w:wordWrap/>
        <w:overflowPunct/>
        <w:topLinePunct w:val="0"/>
        <w:autoSpaceDE/>
        <w:autoSpaceDN/>
        <w:bidi w:val="0"/>
        <w:adjustRightInd/>
        <w:snapToGrid/>
        <w:spacing w:before="300" w:after="300" w:line="320" w:lineRule="exact"/>
        <w:jc w:val="left"/>
        <w:textAlignment w:val="auto"/>
        <w:outlineLvl w:val="2"/>
        <w:rPr>
          <w:rFonts w:ascii="宋体" w:hAnsi="宋体" w:eastAsia="宋体" w:cs="宋体"/>
          <w:b/>
          <w:bCs/>
          <w:sz w:val="21"/>
          <w:szCs w:val="21"/>
        </w:rPr>
      </w:pPr>
      <w:bookmarkStart w:id="6" w:name="_Toc988895"/>
      <w:r>
        <w:rPr>
          <w:rFonts w:ascii="宋体" w:hAnsi="宋体" w:eastAsia="宋体" w:cs="宋体"/>
          <w:b/>
          <w:bCs/>
          <w:sz w:val="21"/>
          <w:szCs w:val="21"/>
        </w:rPr>
        <w:t>5、公司优先股股东总数及前10名优先股股东持股情况表</w:t>
      </w:r>
      <w:bookmarkEnd w:id="6"/>
    </w:p>
    <w:p w14:paraId="67E6AC4C">
      <w:pPr>
        <w:keepNext w:val="0"/>
        <w:keepLines w:val="0"/>
        <w:pageBreakBefore w:val="0"/>
        <w:widowControl w:val="0"/>
        <w:kinsoku/>
        <w:wordWrap/>
        <w:overflowPunct/>
        <w:topLinePunct w:val="0"/>
        <w:autoSpaceDE/>
        <w:autoSpaceDN/>
        <w:bidi w:val="0"/>
        <w:adjustRightInd/>
        <w:snapToGrid/>
        <w:spacing w:before="40" w:after="40" w:line="320" w:lineRule="exact"/>
        <w:jc w:val="left"/>
        <w:textAlignment w:val="auto"/>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14:paraId="57300B53">
      <w:pPr>
        <w:keepNext w:val="0"/>
        <w:keepLines w:val="0"/>
        <w:pageBreakBefore w:val="0"/>
        <w:widowControl w:val="0"/>
        <w:kinsoku/>
        <w:wordWrap/>
        <w:overflowPunct/>
        <w:topLinePunct w:val="0"/>
        <w:autoSpaceDE/>
        <w:autoSpaceDN/>
        <w:bidi w:val="0"/>
        <w:adjustRightInd/>
        <w:snapToGrid/>
        <w:spacing w:before="40" w:after="40" w:line="320" w:lineRule="exact"/>
        <w:jc w:val="left"/>
        <w:textAlignment w:val="auto"/>
        <w:rPr>
          <w:rFonts w:ascii="宋体" w:hAnsi="宋体" w:eastAsia="宋体" w:cs="宋体"/>
          <w:sz w:val="21"/>
          <w:szCs w:val="21"/>
        </w:rPr>
      </w:pPr>
      <w:r>
        <w:rPr>
          <w:rFonts w:ascii="宋体" w:hAnsi="宋体" w:eastAsia="宋体" w:cs="宋体"/>
          <w:sz w:val="21"/>
          <w:szCs w:val="21"/>
        </w:rPr>
        <w:t>公司报告期无优先股股东持股情况。</w:t>
      </w:r>
    </w:p>
    <w:p w14:paraId="08F71DE5">
      <w:pPr>
        <w:keepNext/>
        <w:keepLines/>
        <w:pageBreakBefore w:val="0"/>
        <w:widowControl w:val="0"/>
        <w:kinsoku/>
        <w:wordWrap/>
        <w:overflowPunct/>
        <w:topLinePunct w:val="0"/>
        <w:autoSpaceDE/>
        <w:autoSpaceDN/>
        <w:bidi w:val="0"/>
        <w:adjustRightInd/>
        <w:snapToGrid/>
        <w:spacing w:before="300" w:after="300" w:line="320" w:lineRule="exact"/>
        <w:jc w:val="left"/>
        <w:textAlignment w:val="auto"/>
        <w:outlineLvl w:val="2"/>
        <w:rPr>
          <w:rFonts w:ascii="宋体" w:hAnsi="宋体" w:eastAsia="宋体" w:cs="宋体"/>
          <w:b/>
          <w:bCs/>
          <w:sz w:val="21"/>
          <w:szCs w:val="21"/>
        </w:rPr>
      </w:pPr>
      <w:bookmarkStart w:id="7" w:name="_Toc988896"/>
      <w:r>
        <w:rPr>
          <w:rFonts w:ascii="宋体" w:hAnsi="宋体" w:eastAsia="宋体" w:cs="宋体"/>
          <w:b/>
          <w:bCs/>
          <w:sz w:val="21"/>
          <w:szCs w:val="21"/>
        </w:rPr>
        <w:t>6、在半年度报告批准报出日存续的债券情况</w:t>
      </w:r>
      <w:bookmarkEnd w:id="7"/>
    </w:p>
    <w:p w14:paraId="712CB3EC">
      <w:pPr>
        <w:keepNext w:val="0"/>
        <w:keepLines w:val="0"/>
        <w:pageBreakBefore w:val="0"/>
        <w:widowControl w:val="0"/>
        <w:kinsoku/>
        <w:wordWrap/>
        <w:overflowPunct/>
        <w:topLinePunct w:val="0"/>
        <w:autoSpaceDE/>
        <w:autoSpaceDN/>
        <w:bidi w:val="0"/>
        <w:adjustRightInd/>
        <w:snapToGrid/>
        <w:spacing w:before="40" w:after="40" w:line="320" w:lineRule="exact"/>
        <w:jc w:val="left"/>
        <w:textAlignment w:val="auto"/>
        <w:rPr>
          <w:rFonts w:ascii="宋体" w:hAnsi="宋体" w:eastAsia="宋体" w:cs="宋体"/>
          <w:sz w:val="21"/>
          <w:szCs w:val="21"/>
        </w:rPr>
      </w:pPr>
      <w:r>
        <w:rPr>
          <w:rFonts w:ascii="宋体" w:hAnsi="宋体" w:eastAsia="宋体" w:cs="宋体"/>
          <w:sz w:val="21"/>
          <w:szCs w:val="21"/>
        </w:rPr>
        <w:t xml:space="preserve">□适用 </w:t>
      </w:r>
      <w:r>
        <w:rPr>
          <w:rFonts w:ascii="宋体" w:hAnsi="宋体" w:eastAsia="宋体" w:cs="宋体"/>
          <w:sz w:val="21"/>
          <w:szCs w:val="21"/>
        </w:rPr>
        <w:sym w:font="Wingdings 2" w:char="F052"/>
      </w:r>
      <w:r>
        <w:rPr>
          <w:rFonts w:ascii="宋体" w:hAnsi="宋体" w:eastAsia="宋体" w:cs="宋体"/>
          <w:sz w:val="21"/>
          <w:szCs w:val="21"/>
        </w:rPr>
        <w:t>不适用</w:t>
      </w:r>
    </w:p>
    <w:p w14:paraId="44E94657">
      <w:pPr>
        <w:keepNext/>
        <w:keepLines/>
        <w:pageBreakBefore w:val="0"/>
        <w:widowControl w:val="0"/>
        <w:kinsoku/>
        <w:wordWrap/>
        <w:overflowPunct/>
        <w:topLinePunct w:val="0"/>
        <w:autoSpaceDE/>
        <w:autoSpaceDN/>
        <w:bidi w:val="0"/>
        <w:adjustRightInd/>
        <w:snapToGrid/>
        <w:spacing w:before="300" w:after="300" w:line="320" w:lineRule="exact"/>
        <w:jc w:val="left"/>
        <w:textAlignment w:val="auto"/>
        <w:outlineLvl w:val="1"/>
        <w:rPr>
          <w:rFonts w:ascii="宋体" w:hAnsi="宋体" w:eastAsia="宋体" w:cs="宋体"/>
          <w:b/>
          <w:bCs/>
          <w:sz w:val="24"/>
          <w:szCs w:val="24"/>
        </w:rPr>
      </w:pPr>
      <w:bookmarkStart w:id="8" w:name="_Toc988897"/>
      <w:r>
        <w:rPr>
          <w:rFonts w:ascii="宋体" w:hAnsi="宋体" w:eastAsia="宋体" w:cs="宋体"/>
          <w:b/>
          <w:bCs/>
          <w:sz w:val="24"/>
          <w:szCs w:val="24"/>
        </w:rPr>
        <w:t>三、重要事项</w:t>
      </w:r>
      <w:bookmarkEnd w:id="8"/>
    </w:p>
    <w:p w14:paraId="1C10928C">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default" w:ascii="宋体" w:hAnsi="宋体" w:eastAsia="宋体" w:cs="宋体"/>
          <w:sz w:val="21"/>
          <w:szCs w:val="21"/>
        </w:rPr>
      </w:pPr>
      <w:r>
        <w:rPr>
          <w:rFonts w:hint="eastAsia" w:ascii="宋体" w:hAnsi="宋体" w:eastAsia="宋体" w:cs="宋体"/>
          <w:sz w:val="21"/>
          <w:szCs w:val="21"/>
        </w:rPr>
        <w:t>（一）合资公司成立</w:t>
      </w:r>
    </w:p>
    <w:p w14:paraId="1EE66C29">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default" w:ascii="宋体" w:hAnsi="宋体" w:eastAsia="宋体" w:cs="宋体"/>
          <w:sz w:val="21"/>
          <w:szCs w:val="21"/>
        </w:rPr>
      </w:pPr>
      <w:r>
        <w:rPr>
          <w:rFonts w:hint="eastAsia" w:ascii="宋体" w:hAnsi="宋体" w:eastAsia="宋体" w:cs="宋体"/>
          <w:sz w:val="21"/>
          <w:szCs w:val="21"/>
        </w:rPr>
        <w:t>公司于2025年6月27日召开的第十一届董事会战略与ESG委员会第一次会议，并于2025年6月30日提交董事长办公会议，审议通过了《关于公司拟投资新设合资公司的议案》，拟与青岛汇泉海洋科技开发有限公司（以下简称“汇泉公司”）成立合资公司，合资公司注册资本为人民币1,000万元，其中公司以自有资金认缴合计510万元，占合资公司注册资本51.00%，汇泉公司以自有资金认缴合计490万元，占合资公司注册资本49.00%，合资公司设立后将纳入公司合并报表范围，成为公司的控股子公司。本次对外投资事项在公司董事长审批权限内，无需提交董事会、股东会审议。</w:t>
      </w:r>
    </w:p>
    <w:p w14:paraId="35FF782F">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default" w:ascii="宋体" w:hAnsi="宋体" w:eastAsia="宋体" w:cs="宋体"/>
          <w:sz w:val="21"/>
          <w:szCs w:val="21"/>
        </w:rPr>
      </w:pPr>
      <w:r>
        <w:rPr>
          <w:rFonts w:hint="eastAsia" w:ascii="宋体" w:hAnsi="宋体" w:eastAsia="宋体" w:cs="宋体"/>
          <w:sz w:val="21"/>
          <w:szCs w:val="21"/>
        </w:rPr>
        <w:t>公司与汇泉公司同意首期实缴出资300万元，按照双方认缴出资额比例进行出资，即公司首期实缴出资为153万元，汇泉公司首期实缴出资为147万元，合资公司成立后主营业务为销售海洋休闲产品、青岛伴手礼等预包装休闲食品及青岛特色旅游文创产品。</w:t>
      </w:r>
    </w:p>
    <w:p w14:paraId="1D3D2DCF">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default" w:ascii="宋体" w:hAnsi="宋体" w:eastAsia="宋体" w:cs="宋体"/>
          <w:sz w:val="21"/>
          <w:szCs w:val="21"/>
        </w:rPr>
      </w:pPr>
      <w:r>
        <w:rPr>
          <w:rFonts w:hint="eastAsia" w:ascii="宋体" w:hAnsi="宋体" w:eastAsia="宋体" w:cs="宋体"/>
          <w:sz w:val="21"/>
          <w:szCs w:val="21"/>
        </w:rPr>
        <w:t>2025年7月9日，已完成工商登记，合资公司名称为青岛海友汇泉食品科技有限公司。</w:t>
      </w:r>
    </w:p>
    <w:p w14:paraId="6E39B3AF">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default" w:ascii="宋体" w:hAnsi="宋体" w:eastAsia="宋体" w:cs="宋体"/>
          <w:sz w:val="21"/>
          <w:szCs w:val="21"/>
        </w:rPr>
      </w:pPr>
      <w:r>
        <w:rPr>
          <w:rFonts w:hint="eastAsia" w:ascii="宋体" w:hAnsi="宋体" w:eastAsia="宋体" w:cs="宋体"/>
          <w:sz w:val="21"/>
          <w:szCs w:val="21"/>
        </w:rPr>
        <w:t>（二）瑕疵房产办理</w:t>
      </w:r>
    </w:p>
    <w:p w14:paraId="68936DCE">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default" w:ascii="宋体" w:hAnsi="宋体" w:eastAsia="宋体" w:cs="宋体"/>
          <w:sz w:val="21"/>
          <w:szCs w:val="21"/>
        </w:rPr>
      </w:pPr>
      <w:r>
        <w:rPr>
          <w:rFonts w:hint="eastAsia" w:ascii="宋体" w:hAnsi="宋体" w:eastAsia="宋体" w:cs="宋体"/>
          <w:sz w:val="21"/>
          <w:szCs w:val="21"/>
        </w:rPr>
        <w:t>公司一处瑕疵房产（未办理产权登记，产权人不清晰，属于历史遗留问题）位于青岛市市南区盐城路4号乙。2025年3月31日公司与青岛钟表总公司共同在市南区不动产登记中心税务窗口开具缴税凭证两份，其中：纳税人青岛钟表总公司支付的税金及登记费1,084,826.52元，其中包含：办理首登证登记费550.00元；办理产权转移需要缴纳的税金1,084,276.52元。2025年4月28日，公司和青岛钟表总公司双方各自缴纳税金后，青岛市市南区盐</w:t>
      </w:r>
      <w:bookmarkStart w:id="9" w:name="_GoBack"/>
      <w:bookmarkEnd w:id="9"/>
      <w:r>
        <w:rPr>
          <w:rFonts w:hint="eastAsia" w:ascii="宋体" w:hAnsi="宋体" w:eastAsia="宋体" w:cs="宋体"/>
          <w:sz w:val="21"/>
          <w:szCs w:val="21"/>
        </w:rPr>
        <w:t>城路4号乙（含乙-3、乙-4、乙-5、乙-6）房产产权过户至我公司。</w:t>
      </w:r>
    </w:p>
    <w:p w14:paraId="4FA85813">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default" w:ascii="宋体" w:hAnsi="宋体" w:eastAsia="宋体" w:cs="宋体"/>
          <w:sz w:val="21"/>
          <w:szCs w:val="21"/>
        </w:rPr>
      </w:pPr>
      <w:r>
        <w:rPr>
          <w:rFonts w:hint="eastAsia" w:ascii="宋体" w:hAnsi="宋体" w:eastAsia="宋体" w:cs="宋体"/>
          <w:sz w:val="21"/>
          <w:szCs w:val="21"/>
        </w:rPr>
        <w:t>2019年，公司与青岛钟表总公司签订的《确认协议书》（公司披露的《首次公开发行股票招股说明书》第六节之“五、主要资产情况”中已说明签订《确认协议书》事项）中约定，因办理产权证和过户所产生的所有费用由公司承担。在产权转移登记过程中，青岛钟表总公司支付的税金及登记费应由公司承担。因青岛钟表总公司属于公司关联方，本事项构成关联交易。</w:t>
      </w:r>
    </w:p>
    <w:p w14:paraId="2E5FF3FA">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2025年5月28日，经第十一届董事会独立董事第一次专门会议、董事长办公会同意在青岛市市南区盐城路4号乙房产办理产权证过程中与青岛钟表总公司产生的关联交易，按实际产生金额向青岛钟表总公司支付，费用合计金额1,084,826.52元。本事项在公司董事长审批权限内，无需提交董事会、股东会审议。</w:t>
      </w:r>
    </w:p>
    <w:p w14:paraId="4D81ABAA">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eastAsia" w:ascii="宋体" w:hAnsi="宋体" w:eastAsia="宋体" w:cs="宋体"/>
          <w:sz w:val="21"/>
          <w:szCs w:val="21"/>
        </w:rPr>
      </w:pPr>
    </w:p>
    <w:p w14:paraId="5F842A41">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left"/>
        <w:textAlignment w:val="auto"/>
        <w:rPr>
          <w:rFonts w:hint="eastAsia" w:ascii="宋体" w:hAnsi="宋体" w:eastAsia="宋体" w:cs="宋体"/>
          <w:sz w:val="21"/>
          <w:szCs w:val="21"/>
        </w:rPr>
      </w:pPr>
    </w:p>
    <w:p w14:paraId="571972AE">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青岛食品股份有限公司</w:t>
      </w:r>
    </w:p>
    <w:p w14:paraId="4B20DD7A">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董事会</w:t>
      </w:r>
    </w:p>
    <w:p w14:paraId="1766431F">
      <w:pPr>
        <w:keepNext w:val="0"/>
        <w:keepLines w:val="0"/>
        <w:pageBreakBefore w:val="0"/>
        <w:widowControl w:val="0"/>
        <w:kinsoku/>
        <w:wordWrap/>
        <w:overflowPunct/>
        <w:topLinePunct w:val="0"/>
        <w:autoSpaceDE/>
        <w:autoSpaceDN/>
        <w:bidi w:val="0"/>
        <w:adjustRightInd/>
        <w:snapToGrid/>
        <w:spacing w:before="100" w:after="100" w:line="320" w:lineRule="exact"/>
        <w:ind w:firstLine="420" w:firstLineChars="200"/>
        <w:jc w:val="righ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2025年8月23日</w:t>
      </w: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87EEB">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C1AF2">
    <w:pPr>
      <w:pBdr>
        <w:bottom w:val="single" w:color="auto" w:sz="6" w:space="1"/>
      </w:pBdr>
      <w:jc w:val="right"/>
    </w:pPr>
    <w:r>
      <w:rPr>
        <w:rFonts w:ascii="宋体" w:eastAsia="宋体"/>
        <w:sz w:val="18"/>
        <w:szCs w:val="18"/>
      </w:rPr>
      <w:drawing>
        <wp:anchor distT="0" distB="0" distL="114300" distR="114300" simplePos="0" relativeHeight="251659264" behindDoc="0" locked="0" layoutInCell="1" allowOverlap="1">
          <wp:simplePos x="0" y="0"/>
          <wp:positionH relativeFrom="column">
            <wp:posOffset>-94615</wp:posOffset>
          </wp:positionH>
          <wp:positionV relativeFrom="paragraph">
            <wp:posOffset>-825500</wp:posOffset>
          </wp:positionV>
          <wp:extent cx="1289050" cy="1289050"/>
          <wp:effectExtent l="0" t="0" r="0" b="0"/>
          <wp:wrapNone/>
          <wp:docPr id="1" name="图片 1" descr="微信图片_2023120116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201160657"/>
                  <pic:cNvPicPr>
                    <a:picLocks noChangeAspect="1"/>
                  </pic:cNvPicPr>
                </pic:nvPicPr>
                <pic:blipFill>
                  <a:blip r:embed="rId1"/>
                  <a:stretch>
                    <a:fillRect/>
                  </a:stretch>
                </pic:blipFill>
                <pic:spPr>
                  <a:xfrm>
                    <a:off x="0" y="0"/>
                    <a:ext cx="1289050" cy="1289050"/>
                  </a:xfrm>
                  <a:prstGeom prst="rect">
                    <a:avLst/>
                  </a:prstGeom>
                </pic:spPr>
              </pic:pic>
            </a:graphicData>
          </a:graphic>
        </wp:anchor>
      </w:drawing>
    </w:r>
    <w:r>
      <w:rPr>
        <w:rFonts w:ascii="宋体" w:eastAsia="宋体"/>
        <w:sz w:val="18"/>
        <w:szCs w:val="18"/>
      </w:rPr>
      <w:t>青岛食品股份有限公司2025年半年度报告摘要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useFELayout/>
    <w:compatSetting w:name="compatibilityMode" w:uri="http://schemas.microsoft.com/office/word" w:val="14"/>
  </w:compat>
  <w:rsids>
    <w:rsidRoot w:val="00000000"/>
    <w:rsid w:val="031D5AA9"/>
    <w:rsid w:val="05E92DD4"/>
    <w:rsid w:val="1AB32C1C"/>
    <w:rsid w:val="7E9B3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2303</Words>
  <Characters>2957</Characters>
  <TotalTime>0</TotalTime>
  <ScaleCrop>false</ScaleCrop>
  <LinksUpToDate>false</LinksUpToDate>
  <CharactersWithSpaces>3020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2025-08-20T01:03:00Z</dcterms:created>
  <dc:creator>Administrator</dc:creator>
  <cp:lastModifiedBy>李春宏</cp:lastModifiedBy>
  <dcterms:modified xsi:type="dcterms:W3CDTF">2025-08-21T05:00:15Z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eyJoZGlkIjoiYTE2YjhhMjQ3NWEyOTgzMmEzNDFiNjBlMTVjNmYyNGIiLCJ1c2VySWQiOiIxNTc0NzMxNDQ4In0=</vt:lpwstr>
  </property>
  <property fmtid="{D5CDD505-2E9C-101B-9397-08002B2CF9AE}" pid="3" name="KSOProductBuildVer">
    <vt:lpwstr>2052-12.1.0.20784</vt:lpwstr>
  </property>
  <property fmtid="{D5CDD505-2E9C-101B-9397-08002B2CF9AE}" pid="4" name="ICV">
    <vt:lpwstr>10F9505782F941E497A667A55CE949CC_12</vt:lpwstr>
  </property>
</Properties>
</file>